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BB02DF" w14:textId="77777777" w:rsidR="00146E18" w:rsidRPr="00306AFF" w:rsidRDefault="00146E18">
      <w:pPr>
        <w:pBdr>
          <w:top w:val="nil"/>
          <w:left w:val="nil"/>
          <w:bottom w:val="nil"/>
          <w:right w:val="nil"/>
          <w:between w:val="nil"/>
        </w:pBdr>
        <w:spacing w:after="0"/>
        <w:jc w:val="center"/>
        <w:rPr>
          <w:rFonts w:ascii="Calibri" w:eastAsia="Calibri" w:hAnsi="Calibri" w:cs="Calibri"/>
          <w:b/>
          <w:color w:val="000000"/>
          <w:sz w:val="22"/>
          <w:szCs w:val="22"/>
          <w:lang w:val="en-GB"/>
        </w:rPr>
      </w:pPr>
    </w:p>
    <w:p w14:paraId="267E61E5" w14:textId="77777777" w:rsidR="006D5067" w:rsidRPr="009E49CC" w:rsidRDefault="006D5067" w:rsidP="006D5067">
      <w:pPr>
        <w:pBdr>
          <w:top w:val="nil"/>
          <w:left w:val="nil"/>
          <w:bottom w:val="nil"/>
          <w:right w:val="nil"/>
          <w:between w:val="nil"/>
        </w:pBdr>
        <w:spacing w:after="0"/>
        <w:jc w:val="center"/>
        <w:rPr>
          <w:rFonts w:ascii="Calibri" w:eastAsia="Calibri" w:hAnsi="Calibri" w:cs="Calibri"/>
          <w:b/>
          <w:color w:val="000000"/>
          <w:sz w:val="22"/>
          <w:szCs w:val="22"/>
          <w:lang w:val="en-GB"/>
        </w:rPr>
      </w:pPr>
    </w:p>
    <w:p w14:paraId="597E6209" w14:textId="77777777" w:rsidR="006D5067" w:rsidRPr="009E49CC" w:rsidRDefault="006D5067" w:rsidP="006D5067">
      <w:pPr>
        <w:pBdr>
          <w:top w:val="nil"/>
          <w:left w:val="nil"/>
          <w:bottom w:val="nil"/>
          <w:right w:val="nil"/>
          <w:between w:val="nil"/>
        </w:pBdr>
        <w:spacing w:after="0"/>
        <w:jc w:val="center"/>
        <w:rPr>
          <w:rFonts w:ascii="Calibri" w:eastAsia="Calibri" w:hAnsi="Calibri" w:cs="Calibri"/>
          <w:b/>
          <w:color w:val="000000"/>
          <w:sz w:val="22"/>
          <w:szCs w:val="22"/>
          <w:lang w:val="en-GB"/>
        </w:rPr>
      </w:pPr>
    </w:p>
    <w:p w14:paraId="6083D6EC" w14:textId="77777777" w:rsidR="006D5067" w:rsidRPr="009E49CC" w:rsidRDefault="006D5067" w:rsidP="006D5067">
      <w:pPr>
        <w:pBdr>
          <w:top w:val="nil"/>
          <w:left w:val="nil"/>
          <w:bottom w:val="nil"/>
          <w:right w:val="nil"/>
          <w:between w:val="nil"/>
        </w:pBdr>
        <w:spacing w:after="0"/>
        <w:jc w:val="center"/>
        <w:rPr>
          <w:rFonts w:ascii="Calibri" w:eastAsia="Calibri" w:hAnsi="Calibri" w:cs="Calibri"/>
          <w:b/>
          <w:color w:val="000000"/>
          <w:sz w:val="22"/>
          <w:szCs w:val="22"/>
          <w:lang w:val="en-GB"/>
        </w:rPr>
      </w:pPr>
    </w:p>
    <w:p w14:paraId="3CD90BE7" w14:textId="77777777" w:rsidR="006D5067" w:rsidRPr="009E49CC" w:rsidRDefault="006D5067" w:rsidP="000B08C1">
      <w:pPr>
        <w:pBdr>
          <w:top w:val="nil"/>
          <w:left w:val="nil"/>
          <w:bottom w:val="nil"/>
          <w:right w:val="nil"/>
          <w:between w:val="nil"/>
        </w:pBdr>
        <w:spacing w:after="0"/>
        <w:jc w:val="center"/>
        <w:rPr>
          <w:rFonts w:ascii="Calibri" w:eastAsia="Calibri" w:hAnsi="Calibri" w:cs="Calibri"/>
          <w:b/>
          <w:color w:val="000000"/>
          <w:sz w:val="22"/>
          <w:szCs w:val="22"/>
          <w:lang w:val="en-GB"/>
        </w:rPr>
      </w:pPr>
    </w:p>
    <w:p w14:paraId="6DAA7388" w14:textId="77777777" w:rsidR="006D5067" w:rsidRPr="009E49CC" w:rsidRDefault="006D5067" w:rsidP="000B08C1">
      <w:pPr>
        <w:pBdr>
          <w:top w:val="nil"/>
          <w:left w:val="nil"/>
          <w:bottom w:val="nil"/>
          <w:right w:val="nil"/>
          <w:between w:val="nil"/>
        </w:pBdr>
        <w:spacing w:after="0"/>
        <w:jc w:val="center"/>
        <w:rPr>
          <w:rFonts w:ascii="Calibri" w:eastAsia="Calibri" w:hAnsi="Calibri" w:cs="Calibri"/>
          <w:b/>
          <w:sz w:val="22"/>
          <w:szCs w:val="22"/>
          <w:lang w:val="en-GB"/>
        </w:rPr>
      </w:pPr>
    </w:p>
    <w:p w14:paraId="3F1F27B6" w14:textId="77777777" w:rsidR="006D5067" w:rsidRPr="009E49CC" w:rsidRDefault="006D5067" w:rsidP="006D5067">
      <w:pPr>
        <w:pBdr>
          <w:top w:val="nil"/>
          <w:left w:val="nil"/>
          <w:bottom w:val="nil"/>
          <w:right w:val="nil"/>
          <w:between w:val="nil"/>
        </w:pBdr>
        <w:spacing w:after="0"/>
        <w:jc w:val="center"/>
        <w:rPr>
          <w:rFonts w:ascii="Calibri" w:eastAsia="Calibri" w:hAnsi="Calibri" w:cs="Calibri"/>
          <w:b/>
          <w:sz w:val="22"/>
          <w:szCs w:val="22"/>
          <w:lang w:val="en-GB"/>
        </w:rPr>
      </w:pPr>
    </w:p>
    <w:p w14:paraId="29433BF9" w14:textId="77777777" w:rsidR="006D5067" w:rsidRPr="009E49CC" w:rsidRDefault="006D5067" w:rsidP="006D5067">
      <w:pPr>
        <w:pBdr>
          <w:top w:val="nil"/>
          <w:left w:val="nil"/>
          <w:bottom w:val="nil"/>
          <w:right w:val="nil"/>
          <w:between w:val="nil"/>
        </w:pBdr>
        <w:spacing w:after="0"/>
        <w:jc w:val="center"/>
        <w:rPr>
          <w:rFonts w:ascii="Calibri" w:eastAsia="Calibri" w:hAnsi="Calibri" w:cs="Calibri"/>
          <w:b/>
          <w:sz w:val="22"/>
          <w:szCs w:val="22"/>
          <w:lang w:val="en-GB"/>
        </w:rPr>
      </w:pPr>
    </w:p>
    <w:p w14:paraId="1360848B" w14:textId="4D2B56B5" w:rsidR="006D5067" w:rsidRPr="009E49CC" w:rsidRDefault="006D5067" w:rsidP="006D5067">
      <w:pPr>
        <w:pBdr>
          <w:top w:val="nil"/>
          <w:left w:val="nil"/>
          <w:bottom w:val="nil"/>
          <w:right w:val="nil"/>
          <w:between w:val="nil"/>
        </w:pBdr>
        <w:spacing w:after="0"/>
        <w:jc w:val="center"/>
        <w:rPr>
          <w:rFonts w:ascii="Calibri" w:eastAsia="Calibri" w:hAnsi="Calibri" w:cs="Calibri"/>
          <w:b/>
          <w:color w:val="1F497D"/>
          <w:sz w:val="48"/>
          <w:szCs w:val="48"/>
        </w:rPr>
      </w:pPr>
      <w:r>
        <w:rPr>
          <w:rFonts w:ascii="Calibri" w:hAnsi="Calibri"/>
          <w:b/>
          <w:color w:val="1F497D"/>
          <w:sz w:val="48"/>
        </w:rPr>
        <w:t>Manuel du back-office</w:t>
      </w:r>
    </w:p>
    <w:p w14:paraId="0F25D3EA" w14:textId="77777777" w:rsidR="000B08C1" w:rsidRDefault="000B08C1" w:rsidP="006D5067">
      <w:pPr>
        <w:pBdr>
          <w:top w:val="nil"/>
          <w:left w:val="nil"/>
          <w:bottom w:val="nil"/>
          <w:right w:val="nil"/>
          <w:between w:val="nil"/>
        </w:pBdr>
        <w:spacing w:after="0"/>
        <w:jc w:val="center"/>
        <w:rPr>
          <w:rFonts w:ascii="Calibri" w:eastAsia="Calibri" w:hAnsi="Calibri" w:cs="Calibri"/>
          <w:b/>
          <w:color w:val="000000"/>
          <w:sz w:val="22"/>
          <w:szCs w:val="22"/>
          <w:lang w:val="en-GB"/>
        </w:rPr>
      </w:pPr>
    </w:p>
    <w:p w14:paraId="675D71D4" w14:textId="77777777" w:rsidR="006D5067" w:rsidRPr="009E49CC" w:rsidRDefault="006D5067" w:rsidP="006D5067">
      <w:pPr>
        <w:pBdr>
          <w:top w:val="nil"/>
          <w:left w:val="nil"/>
          <w:bottom w:val="nil"/>
          <w:right w:val="nil"/>
          <w:between w:val="nil"/>
        </w:pBdr>
        <w:spacing w:after="0"/>
        <w:jc w:val="center"/>
        <w:rPr>
          <w:rFonts w:ascii="Calibri" w:eastAsia="Calibri" w:hAnsi="Calibri" w:cs="Calibri"/>
          <w:b/>
          <w:color w:val="1F497D"/>
          <w:sz w:val="22"/>
          <w:szCs w:val="22"/>
          <w:lang w:val="en-GB"/>
        </w:rPr>
      </w:pPr>
    </w:p>
    <w:p w14:paraId="06E4D1EC" w14:textId="39B40BDC" w:rsidR="006D5067" w:rsidRPr="009E49CC" w:rsidRDefault="00E94467" w:rsidP="00E94467">
      <w:pPr>
        <w:pBdr>
          <w:top w:val="nil"/>
          <w:left w:val="nil"/>
          <w:bottom w:val="nil"/>
          <w:right w:val="nil"/>
          <w:between w:val="nil"/>
        </w:pBdr>
        <w:spacing w:after="0"/>
        <w:jc w:val="center"/>
        <w:rPr>
          <w:rFonts w:ascii="Calibri" w:eastAsia="Calibri" w:hAnsi="Calibri" w:cs="Calibri"/>
          <w:b/>
          <w:color w:val="000000"/>
          <w:sz w:val="22"/>
          <w:szCs w:val="22"/>
        </w:rPr>
      </w:pPr>
      <w:r>
        <w:rPr>
          <w:noProof/>
        </w:rPr>
        <w:drawing>
          <wp:inline distT="0" distB="0" distL="0" distR="0" wp14:anchorId="6E021361" wp14:editId="4B37D329">
            <wp:extent cx="3771900" cy="1066800"/>
            <wp:effectExtent l="0" t="0" r="0" b="0"/>
            <wp:docPr id="10303743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74356" name=""/>
                    <pic:cNvPicPr/>
                  </pic:nvPicPr>
                  <pic:blipFill rotWithShape="1">
                    <a:blip r:embed="rId10">
                      <a:extLst>
                        <a:ext uri="{96DAC541-7B7A-43D3-8B79-37D633B846F1}">
                          <asvg:svgBlip xmlns:asvg="http://schemas.microsoft.com/office/drawing/2016/SVG/main" r:embed="rId11"/>
                        </a:ext>
                      </a:extLst>
                    </a:blip>
                    <a:srcRect l="9091" t="12644" r="9091" b="22988"/>
                    <a:stretch/>
                  </pic:blipFill>
                  <pic:spPr bwMode="auto">
                    <a:xfrm>
                      <a:off x="0" y="0"/>
                      <a:ext cx="3771900" cy="1066800"/>
                    </a:xfrm>
                    <a:prstGeom prst="rect">
                      <a:avLst/>
                    </a:prstGeom>
                    <a:ln>
                      <a:noFill/>
                    </a:ln>
                    <a:extLst>
                      <a:ext uri="{53640926-AAD7-44D8-BBD7-CCE9431645EC}">
                        <a14:shadowObscured xmlns:a14="http://schemas.microsoft.com/office/drawing/2010/main"/>
                      </a:ext>
                    </a:extLst>
                  </pic:spPr>
                </pic:pic>
              </a:graphicData>
            </a:graphic>
          </wp:inline>
        </w:drawing>
      </w:r>
    </w:p>
    <w:p w14:paraId="130FE917" w14:textId="77777777" w:rsidR="00146E18" w:rsidRPr="00306AFF" w:rsidRDefault="008F45CE">
      <w:pPr>
        <w:rPr>
          <w:rFonts w:ascii="Calibri" w:eastAsia="Calibri" w:hAnsi="Calibri" w:cs="Calibri"/>
          <w:b/>
          <w:color w:val="000000"/>
          <w:sz w:val="22"/>
          <w:szCs w:val="22"/>
        </w:rPr>
      </w:pPr>
      <w:r>
        <w:br w:type="page"/>
      </w:r>
    </w:p>
    <w:p w14:paraId="646DC223" w14:textId="77777777" w:rsidR="00146E18" w:rsidRPr="00306AFF" w:rsidRDefault="008F45CE">
      <w:pPr>
        <w:spacing w:after="0"/>
        <w:rPr>
          <w:rFonts w:ascii="Calibri" w:eastAsia="Calibri" w:hAnsi="Calibri" w:cs="Calibri"/>
          <w:b/>
          <w:color w:val="1F4E79"/>
          <w:sz w:val="32"/>
          <w:szCs w:val="32"/>
        </w:rPr>
      </w:pPr>
      <w:r>
        <w:rPr>
          <w:rFonts w:ascii="Calibri" w:hAnsi="Calibri"/>
          <w:b/>
          <w:color w:val="1F4E79"/>
          <w:sz w:val="32"/>
        </w:rPr>
        <w:lastRenderedPageBreak/>
        <w:t>Table des matières</w:t>
      </w:r>
    </w:p>
    <w:p w14:paraId="61BDAE0D" w14:textId="77777777" w:rsidR="00146E18" w:rsidRPr="00306AFF" w:rsidRDefault="00146E18" w:rsidP="0092656B">
      <w:pPr>
        <w:spacing w:after="0"/>
        <w:rPr>
          <w:rFonts w:ascii="Calibri" w:eastAsia="Calibri" w:hAnsi="Calibri" w:cs="Calibri"/>
          <w:b/>
          <w:sz w:val="22"/>
          <w:szCs w:val="22"/>
          <w:lang w:val="en-GB"/>
        </w:rPr>
      </w:pPr>
    </w:p>
    <w:sdt>
      <w:sdtPr>
        <w:rPr>
          <w:b w:val="0"/>
        </w:rPr>
        <w:id w:val="2056114760"/>
        <w:docPartObj>
          <w:docPartGallery w:val="Table of Contents"/>
          <w:docPartUnique/>
        </w:docPartObj>
      </w:sdtPr>
      <w:sdtEndPr>
        <w:rPr>
          <w:bCs/>
        </w:rPr>
      </w:sdtEndPr>
      <w:sdtContent>
        <w:p w14:paraId="6FE110FB" w14:textId="7EEC274E" w:rsidR="00C7248B" w:rsidRDefault="00D11A6D">
          <w:pPr>
            <w:pStyle w:val="Indholdsfortegnelse1"/>
            <w:tabs>
              <w:tab w:val="right" w:leader="dot" w:pos="9060"/>
            </w:tabs>
            <w:rPr>
              <w:rFonts w:asciiTheme="minorHAnsi" w:eastAsiaTheme="minorEastAsia" w:hAnsiTheme="minorHAnsi" w:cstheme="minorBidi"/>
              <w:b w:val="0"/>
              <w:noProof/>
              <w:kern w:val="2"/>
              <w:sz w:val="24"/>
              <w:szCs w:val="24"/>
              <w:lang w:val="da-DK" w:eastAsia="zh-CN"/>
              <w14:ligatures w14:val="standardContextual"/>
            </w:rPr>
          </w:pPr>
          <w:r>
            <w:fldChar w:fldCharType="begin"/>
          </w:r>
          <w:r>
            <w:instrText xml:space="preserve"> TOC \o "1-3" \h \z \u </w:instrText>
          </w:r>
          <w:r>
            <w:fldChar w:fldCharType="separate"/>
          </w:r>
          <w:hyperlink w:anchor="_Toc176174730" w:history="1">
            <w:r w:rsidR="00C7248B" w:rsidRPr="0060570B">
              <w:rPr>
                <w:rStyle w:val="Hyperlink"/>
                <w:noProof/>
              </w:rPr>
              <w:t>Introduction</w:t>
            </w:r>
            <w:r w:rsidR="00C7248B">
              <w:rPr>
                <w:noProof/>
                <w:webHidden/>
              </w:rPr>
              <w:tab/>
            </w:r>
            <w:r w:rsidR="00C7248B">
              <w:rPr>
                <w:noProof/>
                <w:webHidden/>
              </w:rPr>
              <w:fldChar w:fldCharType="begin"/>
            </w:r>
            <w:r w:rsidR="00C7248B">
              <w:rPr>
                <w:noProof/>
                <w:webHidden/>
              </w:rPr>
              <w:instrText xml:space="preserve"> PAGEREF _Toc176174730 \h </w:instrText>
            </w:r>
            <w:r w:rsidR="00C7248B">
              <w:rPr>
                <w:noProof/>
                <w:webHidden/>
              </w:rPr>
            </w:r>
            <w:r w:rsidR="00C7248B">
              <w:rPr>
                <w:noProof/>
                <w:webHidden/>
              </w:rPr>
              <w:fldChar w:fldCharType="separate"/>
            </w:r>
            <w:r w:rsidR="00C7248B">
              <w:rPr>
                <w:noProof/>
                <w:webHidden/>
              </w:rPr>
              <w:t>3</w:t>
            </w:r>
            <w:r w:rsidR="00C7248B">
              <w:rPr>
                <w:noProof/>
                <w:webHidden/>
              </w:rPr>
              <w:fldChar w:fldCharType="end"/>
            </w:r>
          </w:hyperlink>
        </w:p>
        <w:p w14:paraId="285570C3" w14:textId="752AD665" w:rsidR="00C7248B" w:rsidRDefault="00C7248B">
          <w:pPr>
            <w:pStyle w:val="Indholdsfortegnelse1"/>
            <w:tabs>
              <w:tab w:val="right" w:leader="dot" w:pos="9060"/>
            </w:tabs>
            <w:rPr>
              <w:rFonts w:asciiTheme="minorHAnsi" w:eastAsiaTheme="minorEastAsia" w:hAnsiTheme="minorHAnsi" w:cstheme="minorBidi"/>
              <w:b w:val="0"/>
              <w:noProof/>
              <w:kern w:val="2"/>
              <w:sz w:val="24"/>
              <w:szCs w:val="24"/>
              <w:lang w:val="da-DK" w:eastAsia="zh-CN"/>
              <w14:ligatures w14:val="standardContextual"/>
            </w:rPr>
          </w:pPr>
          <w:hyperlink w:anchor="_Toc176174731" w:history="1">
            <w:r w:rsidRPr="0060570B">
              <w:rPr>
                <w:rStyle w:val="Hyperlink"/>
                <w:noProof/>
              </w:rPr>
              <w:t>Composants et principes de base utilisés dans eWitness</w:t>
            </w:r>
            <w:r>
              <w:rPr>
                <w:noProof/>
                <w:webHidden/>
              </w:rPr>
              <w:tab/>
            </w:r>
            <w:r>
              <w:rPr>
                <w:noProof/>
                <w:webHidden/>
              </w:rPr>
              <w:fldChar w:fldCharType="begin"/>
            </w:r>
            <w:r>
              <w:rPr>
                <w:noProof/>
                <w:webHidden/>
              </w:rPr>
              <w:instrText xml:space="preserve"> PAGEREF _Toc176174731 \h </w:instrText>
            </w:r>
            <w:r>
              <w:rPr>
                <w:noProof/>
                <w:webHidden/>
              </w:rPr>
            </w:r>
            <w:r>
              <w:rPr>
                <w:noProof/>
                <w:webHidden/>
              </w:rPr>
              <w:fldChar w:fldCharType="separate"/>
            </w:r>
            <w:r>
              <w:rPr>
                <w:noProof/>
                <w:webHidden/>
              </w:rPr>
              <w:t>3</w:t>
            </w:r>
            <w:r>
              <w:rPr>
                <w:noProof/>
                <w:webHidden/>
              </w:rPr>
              <w:fldChar w:fldCharType="end"/>
            </w:r>
          </w:hyperlink>
        </w:p>
        <w:p w14:paraId="70D3A65A" w14:textId="1A015521" w:rsidR="00C7248B" w:rsidRDefault="00C7248B">
          <w:pPr>
            <w:pStyle w:val="Indholdsfortegnelse1"/>
            <w:tabs>
              <w:tab w:val="right" w:leader="dot" w:pos="9060"/>
            </w:tabs>
            <w:rPr>
              <w:rFonts w:asciiTheme="minorHAnsi" w:eastAsiaTheme="minorEastAsia" w:hAnsiTheme="minorHAnsi" w:cstheme="minorBidi"/>
              <w:b w:val="0"/>
              <w:noProof/>
              <w:kern w:val="2"/>
              <w:sz w:val="24"/>
              <w:szCs w:val="24"/>
              <w:lang w:val="da-DK" w:eastAsia="zh-CN"/>
              <w14:ligatures w14:val="standardContextual"/>
            </w:rPr>
          </w:pPr>
          <w:hyperlink w:anchor="_Toc176174732" w:history="1">
            <w:r w:rsidRPr="0060570B">
              <w:rPr>
                <w:rStyle w:val="Hyperlink"/>
                <w:noProof/>
              </w:rPr>
              <w:t>Configuration du système</w:t>
            </w:r>
            <w:r>
              <w:rPr>
                <w:noProof/>
                <w:webHidden/>
              </w:rPr>
              <w:tab/>
            </w:r>
            <w:r>
              <w:rPr>
                <w:noProof/>
                <w:webHidden/>
              </w:rPr>
              <w:fldChar w:fldCharType="begin"/>
            </w:r>
            <w:r>
              <w:rPr>
                <w:noProof/>
                <w:webHidden/>
              </w:rPr>
              <w:instrText xml:space="preserve"> PAGEREF _Toc176174732 \h </w:instrText>
            </w:r>
            <w:r>
              <w:rPr>
                <w:noProof/>
                <w:webHidden/>
              </w:rPr>
            </w:r>
            <w:r>
              <w:rPr>
                <w:noProof/>
                <w:webHidden/>
              </w:rPr>
              <w:fldChar w:fldCharType="separate"/>
            </w:r>
            <w:r>
              <w:rPr>
                <w:noProof/>
                <w:webHidden/>
              </w:rPr>
              <w:t>4</w:t>
            </w:r>
            <w:r>
              <w:rPr>
                <w:noProof/>
                <w:webHidden/>
              </w:rPr>
              <w:fldChar w:fldCharType="end"/>
            </w:r>
          </w:hyperlink>
        </w:p>
        <w:p w14:paraId="02A1CFC6" w14:textId="0FC39040" w:rsidR="00C7248B" w:rsidRDefault="00C7248B">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6174733" w:history="1">
            <w:r w:rsidRPr="0060570B">
              <w:rPr>
                <w:rStyle w:val="Hyperlink"/>
                <w:noProof/>
              </w:rPr>
              <w:t>Étape 1 : Conception des étiquettes</w:t>
            </w:r>
            <w:r>
              <w:rPr>
                <w:noProof/>
                <w:webHidden/>
              </w:rPr>
              <w:tab/>
            </w:r>
            <w:r>
              <w:rPr>
                <w:noProof/>
                <w:webHidden/>
              </w:rPr>
              <w:fldChar w:fldCharType="begin"/>
            </w:r>
            <w:r>
              <w:rPr>
                <w:noProof/>
                <w:webHidden/>
              </w:rPr>
              <w:instrText xml:space="preserve"> PAGEREF _Toc176174733 \h </w:instrText>
            </w:r>
            <w:r>
              <w:rPr>
                <w:noProof/>
                <w:webHidden/>
              </w:rPr>
            </w:r>
            <w:r>
              <w:rPr>
                <w:noProof/>
                <w:webHidden/>
              </w:rPr>
              <w:fldChar w:fldCharType="separate"/>
            </w:r>
            <w:r>
              <w:rPr>
                <w:noProof/>
                <w:webHidden/>
              </w:rPr>
              <w:t>4</w:t>
            </w:r>
            <w:r>
              <w:rPr>
                <w:noProof/>
                <w:webHidden/>
              </w:rPr>
              <w:fldChar w:fldCharType="end"/>
            </w:r>
          </w:hyperlink>
        </w:p>
        <w:p w14:paraId="14AC82D3" w14:textId="4378268E" w:rsidR="00C7248B" w:rsidRDefault="00C7248B">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6174734" w:history="1">
            <w:r w:rsidRPr="0060570B">
              <w:rPr>
                <w:rStyle w:val="Hyperlink"/>
                <w:noProof/>
              </w:rPr>
              <w:t>Étape 2 : Définition des impressions</w:t>
            </w:r>
            <w:r>
              <w:rPr>
                <w:noProof/>
                <w:webHidden/>
              </w:rPr>
              <w:tab/>
            </w:r>
            <w:r>
              <w:rPr>
                <w:noProof/>
                <w:webHidden/>
              </w:rPr>
              <w:fldChar w:fldCharType="begin"/>
            </w:r>
            <w:r>
              <w:rPr>
                <w:noProof/>
                <w:webHidden/>
              </w:rPr>
              <w:instrText xml:space="preserve"> PAGEREF _Toc176174734 \h </w:instrText>
            </w:r>
            <w:r>
              <w:rPr>
                <w:noProof/>
                <w:webHidden/>
              </w:rPr>
            </w:r>
            <w:r>
              <w:rPr>
                <w:noProof/>
                <w:webHidden/>
              </w:rPr>
              <w:fldChar w:fldCharType="separate"/>
            </w:r>
            <w:r>
              <w:rPr>
                <w:noProof/>
                <w:webHidden/>
              </w:rPr>
              <w:t>5</w:t>
            </w:r>
            <w:r>
              <w:rPr>
                <w:noProof/>
                <w:webHidden/>
              </w:rPr>
              <w:fldChar w:fldCharType="end"/>
            </w:r>
          </w:hyperlink>
        </w:p>
        <w:p w14:paraId="39238C5B" w14:textId="31F3B389" w:rsidR="00C7248B" w:rsidRDefault="00C7248B">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6174735" w:history="1">
            <w:r w:rsidRPr="0060570B">
              <w:rPr>
                <w:rStyle w:val="Hyperlink"/>
                <w:noProof/>
              </w:rPr>
              <w:t>Étape 3 : Définir des points témoins</w:t>
            </w:r>
            <w:r>
              <w:rPr>
                <w:noProof/>
                <w:webHidden/>
              </w:rPr>
              <w:tab/>
            </w:r>
            <w:r>
              <w:rPr>
                <w:noProof/>
                <w:webHidden/>
              </w:rPr>
              <w:fldChar w:fldCharType="begin"/>
            </w:r>
            <w:r>
              <w:rPr>
                <w:noProof/>
                <w:webHidden/>
              </w:rPr>
              <w:instrText xml:space="preserve"> PAGEREF _Toc176174735 \h </w:instrText>
            </w:r>
            <w:r>
              <w:rPr>
                <w:noProof/>
                <w:webHidden/>
              </w:rPr>
            </w:r>
            <w:r>
              <w:rPr>
                <w:noProof/>
                <w:webHidden/>
              </w:rPr>
              <w:fldChar w:fldCharType="separate"/>
            </w:r>
            <w:r>
              <w:rPr>
                <w:noProof/>
                <w:webHidden/>
              </w:rPr>
              <w:t>7</w:t>
            </w:r>
            <w:r>
              <w:rPr>
                <w:noProof/>
                <w:webHidden/>
              </w:rPr>
              <w:fldChar w:fldCharType="end"/>
            </w:r>
          </w:hyperlink>
        </w:p>
        <w:p w14:paraId="23CC5647" w14:textId="70B7B2B9" w:rsidR="00C7248B" w:rsidRDefault="00C7248B">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6174736" w:history="1">
            <w:r w:rsidRPr="0060570B">
              <w:rPr>
                <w:rStyle w:val="Hyperlink"/>
                <w:noProof/>
              </w:rPr>
              <w:t>Gestion des utilisateurs</w:t>
            </w:r>
            <w:r>
              <w:rPr>
                <w:noProof/>
                <w:webHidden/>
              </w:rPr>
              <w:tab/>
            </w:r>
            <w:r>
              <w:rPr>
                <w:noProof/>
                <w:webHidden/>
              </w:rPr>
              <w:fldChar w:fldCharType="begin"/>
            </w:r>
            <w:r>
              <w:rPr>
                <w:noProof/>
                <w:webHidden/>
              </w:rPr>
              <w:instrText xml:space="preserve"> PAGEREF _Toc176174736 \h </w:instrText>
            </w:r>
            <w:r>
              <w:rPr>
                <w:noProof/>
                <w:webHidden/>
              </w:rPr>
            </w:r>
            <w:r>
              <w:rPr>
                <w:noProof/>
                <w:webHidden/>
              </w:rPr>
              <w:fldChar w:fldCharType="separate"/>
            </w:r>
            <w:r>
              <w:rPr>
                <w:noProof/>
                <w:webHidden/>
              </w:rPr>
              <w:t>10</w:t>
            </w:r>
            <w:r>
              <w:rPr>
                <w:noProof/>
                <w:webHidden/>
              </w:rPr>
              <w:fldChar w:fldCharType="end"/>
            </w:r>
          </w:hyperlink>
        </w:p>
        <w:p w14:paraId="7116A5C0" w14:textId="4D8E7695" w:rsidR="00C7248B" w:rsidRDefault="00C7248B">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6174737" w:history="1">
            <w:r w:rsidRPr="0060570B">
              <w:rPr>
                <w:rStyle w:val="Hyperlink"/>
                <w:noProof/>
              </w:rPr>
              <w:t>Définitions des rapports</w:t>
            </w:r>
            <w:r>
              <w:rPr>
                <w:noProof/>
                <w:webHidden/>
              </w:rPr>
              <w:tab/>
            </w:r>
            <w:r>
              <w:rPr>
                <w:noProof/>
                <w:webHidden/>
              </w:rPr>
              <w:fldChar w:fldCharType="begin"/>
            </w:r>
            <w:r>
              <w:rPr>
                <w:noProof/>
                <w:webHidden/>
              </w:rPr>
              <w:instrText xml:space="preserve"> PAGEREF _Toc176174737 \h </w:instrText>
            </w:r>
            <w:r>
              <w:rPr>
                <w:noProof/>
                <w:webHidden/>
              </w:rPr>
            </w:r>
            <w:r>
              <w:rPr>
                <w:noProof/>
                <w:webHidden/>
              </w:rPr>
              <w:fldChar w:fldCharType="separate"/>
            </w:r>
            <w:r>
              <w:rPr>
                <w:noProof/>
                <w:webHidden/>
              </w:rPr>
              <w:t>11</w:t>
            </w:r>
            <w:r>
              <w:rPr>
                <w:noProof/>
                <w:webHidden/>
              </w:rPr>
              <w:fldChar w:fldCharType="end"/>
            </w:r>
          </w:hyperlink>
        </w:p>
        <w:p w14:paraId="0CE1AD4A" w14:textId="43B075CE" w:rsidR="00C7248B" w:rsidRDefault="00C7248B">
          <w:pPr>
            <w:pStyle w:val="Indholdsfortegnelse1"/>
            <w:tabs>
              <w:tab w:val="right" w:leader="dot" w:pos="9060"/>
            </w:tabs>
            <w:rPr>
              <w:rFonts w:asciiTheme="minorHAnsi" w:eastAsiaTheme="minorEastAsia" w:hAnsiTheme="minorHAnsi" w:cstheme="minorBidi"/>
              <w:b w:val="0"/>
              <w:noProof/>
              <w:kern w:val="2"/>
              <w:sz w:val="24"/>
              <w:szCs w:val="24"/>
              <w:lang w:val="da-DK" w:eastAsia="zh-CN"/>
              <w14:ligatures w14:val="standardContextual"/>
            </w:rPr>
          </w:pPr>
          <w:hyperlink w:anchor="_Toc176174738" w:history="1">
            <w:r w:rsidRPr="0060570B">
              <w:rPr>
                <w:rStyle w:val="Hyperlink"/>
                <w:noProof/>
              </w:rPr>
              <w:t>Mise en place globale</w:t>
            </w:r>
            <w:r>
              <w:rPr>
                <w:noProof/>
                <w:webHidden/>
              </w:rPr>
              <w:tab/>
            </w:r>
            <w:r>
              <w:rPr>
                <w:noProof/>
                <w:webHidden/>
              </w:rPr>
              <w:fldChar w:fldCharType="begin"/>
            </w:r>
            <w:r>
              <w:rPr>
                <w:noProof/>
                <w:webHidden/>
              </w:rPr>
              <w:instrText xml:space="preserve"> PAGEREF _Toc176174738 \h </w:instrText>
            </w:r>
            <w:r>
              <w:rPr>
                <w:noProof/>
                <w:webHidden/>
              </w:rPr>
            </w:r>
            <w:r>
              <w:rPr>
                <w:noProof/>
                <w:webHidden/>
              </w:rPr>
              <w:fldChar w:fldCharType="separate"/>
            </w:r>
            <w:r>
              <w:rPr>
                <w:noProof/>
                <w:webHidden/>
              </w:rPr>
              <w:t>12</w:t>
            </w:r>
            <w:r>
              <w:rPr>
                <w:noProof/>
                <w:webHidden/>
              </w:rPr>
              <w:fldChar w:fldCharType="end"/>
            </w:r>
          </w:hyperlink>
        </w:p>
        <w:p w14:paraId="48C1B125" w14:textId="457278A0" w:rsidR="00C7248B" w:rsidRDefault="00C7248B">
          <w:pPr>
            <w:pStyle w:val="Indholdsfortegnelse1"/>
            <w:tabs>
              <w:tab w:val="right" w:leader="dot" w:pos="9060"/>
            </w:tabs>
            <w:rPr>
              <w:rFonts w:asciiTheme="minorHAnsi" w:eastAsiaTheme="minorEastAsia" w:hAnsiTheme="minorHAnsi" w:cstheme="minorBidi"/>
              <w:b w:val="0"/>
              <w:noProof/>
              <w:kern w:val="2"/>
              <w:sz w:val="24"/>
              <w:szCs w:val="24"/>
              <w:lang w:val="da-DK" w:eastAsia="zh-CN"/>
              <w14:ligatures w14:val="standardContextual"/>
            </w:rPr>
          </w:pPr>
          <w:hyperlink w:anchor="_Toc176174739" w:history="1">
            <w:r w:rsidRPr="0060570B">
              <w:rPr>
                <w:rStyle w:val="Hyperlink"/>
                <w:noProof/>
              </w:rPr>
              <w:t>Utiliser le système pour planifier un cycle témoin</w:t>
            </w:r>
            <w:r>
              <w:rPr>
                <w:noProof/>
                <w:webHidden/>
              </w:rPr>
              <w:tab/>
            </w:r>
            <w:r>
              <w:rPr>
                <w:noProof/>
                <w:webHidden/>
              </w:rPr>
              <w:fldChar w:fldCharType="begin"/>
            </w:r>
            <w:r>
              <w:rPr>
                <w:noProof/>
                <w:webHidden/>
              </w:rPr>
              <w:instrText xml:space="preserve"> PAGEREF _Toc176174739 \h </w:instrText>
            </w:r>
            <w:r>
              <w:rPr>
                <w:noProof/>
                <w:webHidden/>
              </w:rPr>
            </w:r>
            <w:r>
              <w:rPr>
                <w:noProof/>
                <w:webHidden/>
              </w:rPr>
              <w:fldChar w:fldCharType="separate"/>
            </w:r>
            <w:r>
              <w:rPr>
                <w:noProof/>
                <w:webHidden/>
              </w:rPr>
              <w:t>13</w:t>
            </w:r>
            <w:r>
              <w:rPr>
                <w:noProof/>
                <w:webHidden/>
              </w:rPr>
              <w:fldChar w:fldCharType="end"/>
            </w:r>
          </w:hyperlink>
        </w:p>
        <w:p w14:paraId="49B5BA4C" w14:textId="03CBE95E" w:rsidR="00C7248B" w:rsidRDefault="00C7248B">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6174740" w:history="1">
            <w:r w:rsidRPr="0060570B">
              <w:rPr>
                <w:rStyle w:val="Hyperlink"/>
                <w:noProof/>
              </w:rPr>
              <w:t>Trouver ou créer des patient(e)s</w:t>
            </w:r>
            <w:r>
              <w:rPr>
                <w:noProof/>
                <w:webHidden/>
              </w:rPr>
              <w:tab/>
            </w:r>
            <w:r>
              <w:rPr>
                <w:noProof/>
                <w:webHidden/>
              </w:rPr>
              <w:fldChar w:fldCharType="begin"/>
            </w:r>
            <w:r>
              <w:rPr>
                <w:noProof/>
                <w:webHidden/>
              </w:rPr>
              <w:instrText xml:space="preserve"> PAGEREF _Toc176174740 \h </w:instrText>
            </w:r>
            <w:r>
              <w:rPr>
                <w:noProof/>
                <w:webHidden/>
              </w:rPr>
            </w:r>
            <w:r>
              <w:rPr>
                <w:noProof/>
                <w:webHidden/>
              </w:rPr>
              <w:fldChar w:fldCharType="separate"/>
            </w:r>
            <w:r>
              <w:rPr>
                <w:noProof/>
                <w:webHidden/>
              </w:rPr>
              <w:t>13</w:t>
            </w:r>
            <w:r>
              <w:rPr>
                <w:noProof/>
                <w:webHidden/>
              </w:rPr>
              <w:fldChar w:fldCharType="end"/>
            </w:r>
          </w:hyperlink>
        </w:p>
        <w:p w14:paraId="5BB8D7FD" w14:textId="37DA9427" w:rsidR="00C7248B" w:rsidRDefault="00C7248B">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6174741" w:history="1">
            <w:r w:rsidRPr="0060570B">
              <w:rPr>
                <w:rStyle w:val="Hyperlink"/>
                <w:noProof/>
              </w:rPr>
              <w:t>Relier des patients pour former un couple</w:t>
            </w:r>
            <w:r>
              <w:rPr>
                <w:noProof/>
                <w:webHidden/>
              </w:rPr>
              <w:tab/>
            </w:r>
            <w:r>
              <w:rPr>
                <w:noProof/>
                <w:webHidden/>
              </w:rPr>
              <w:fldChar w:fldCharType="begin"/>
            </w:r>
            <w:r>
              <w:rPr>
                <w:noProof/>
                <w:webHidden/>
              </w:rPr>
              <w:instrText xml:space="preserve"> PAGEREF _Toc176174741 \h </w:instrText>
            </w:r>
            <w:r>
              <w:rPr>
                <w:noProof/>
                <w:webHidden/>
              </w:rPr>
            </w:r>
            <w:r>
              <w:rPr>
                <w:noProof/>
                <w:webHidden/>
              </w:rPr>
              <w:fldChar w:fldCharType="separate"/>
            </w:r>
            <w:r>
              <w:rPr>
                <w:noProof/>
                <w:webHidden/>
              </w:rPr>
              <w:t>14</w:t>
            </w:r>
            <w:r>
              <w:rPr>
                <w:noProof/>
                <w:webHidden/>
              </w:rPr>
              <w:fldChar w:fldCharType="end"/>
            </w:r>
          </w:hyperlink>
        </w:p>
        <w:p w14:paraId="5D42F1B4" w14:textId="193D93AE" w:rsidR="00C7248B" w:rsidRDefault="00C7248B">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6174742" w:history="1">
            <w:r w:rsidRPr="0060570B">
              <w:rPr>
                <w:rStyle w:val="Hyperlink"/>
                <w:noProof/>
              </w:rPr>
              <w:t>Création d’un cycle témoin pour un couple</w:t>
            </w:r>
            <w:r>
              <w:rPr>
                <w:noProof/>
                <w:webHidden/>
              </w:rPr>
              <w:tab/>
            </w:r>
            <w:r>
              <w:rPr>
                <w:noProof/>
                <w:webHidden/>
              </w:rPr>
              <w:fldChar w:fldCharType="begin"/>
            </w:r>
            <w:r>
              <w:rPr>
                <w:noProof/>
                <w:webHidden/>
              </w:rPr>
              <w:instrText xml:space="preserve"> PAGEREF _Toc176174742 \h </w:instrText>
            </w:r>
            <w:r>
              <w:rPr>
                <w:noProof/>
                <w:webHidden/>
              </w:rPr>
            </w:r>
            <w:r>
              <w:rPr>
                <w:noProof/>
                <w:webHidden/>
              </w:rPr>
              <w:fldChar w:fldCharType="separate"/>
            </w:r>
            <w:r>
              <w:rPr>
                <w:noProof/>
                <w:webHidden/>
              </w:rPr>
              <w:t>15</w:t>
            </w:r>
            <w:r>
              <w:rPr>
                <w:noProof/>
                <w:webHidden/>
              </w:rPr>
              <w:fldChar w:fldCharType="end"/>
            </w:r>
          </w:hyperlink>
        </w:p>
        <w:p w14:paraId="6C3F7CB3" w14:textId="13248134" w:rsidR="00C7248B" w:rsidRDefault="00C7248B">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6174743" w:history="1">
            <w:r w:rsidRPr="0060570B">
              <w:rPr>
                <w:rStyle w:val="Hyperlink"/>
                <w:noProof/>
              </w:rPr>
              <w:t>Aperçu des cycles témoins dans la vue de laboratoire</w:t>
            </w:r>
            <w:r>
              <w:rPr>
                <w:noProof/>
                <w:webHidden/>
              </w:rPr>
              <w:tab/>
            </w:r>
            <w:r>
              <w:rPr>
                <w:noProof/>
                <w:webHidden/>
              </w:rPr>
              <w:fldChar w:fldCharType="begin"/>
            </w:r>
            <w:r>
              <w:rPr>
                <w:noProof/>
                <w:webHidden/>
              </w:rPr>
              <w:instrText xml:space="preserve"> PAGEREF _Toc176174743 \h </w:instrText>
            </w:r>
            <w:r>
              <w:rPr>
                <w:noProof/>
                <w:webHidden/>
              </w:rPr>
            </w:r>
            <w:r>
              <w:rPr>
                <w:noProof/>
                <w:webHidden/>
              </w:rPr>
              <w:fldChar w:fldCharType="separate"/>
            </w:r>
            <w:r>
              <w:rPr>
                <w:noProof/>
                <w:webHidden/>
              </w:rPr>
              <w:t>16</w:t>
            </w:r>
            <w:r>
              <w:rPr>
                <w:noProof/>
                <w:webHidden/>
              </w:rPr>
              <w:fldChar w:fldCharType="end"/>
            </w:r>
          </w:hyperlink>
        </w:p>
        <w:p w14:paraId="5A9FD7F6" w14:textId="6FD4F457" w:rsidR="00C7248B" w:rsidRDefault="00C7248B">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6174744" w:history="1">
            <w:r w:rsidRPr="0060570B">
              <w:rPr>
                <w:rStyle w:val="Hyperlink"/>
                <w:noProof/>
              </w:rPr>
              <w:t>Affichage sur tablettes et PC</w:t>
            </w:r>
            <w:r>
              <w:rPr>
                <w:noProof/>
                <w:webHidden/>
              </w:rPr>
              <w:tab/>
            </w:r>
            <w:r>
              <w:rPr>
                <w:noProof/>
                <w:webHidden/>
              </w:rPr>
              <w:fldChar w:fldCharType="begin"/>
            </w:r>
            <w:r>
              <w:rPr>
                <w:noProof/>
                <w:webHidden/>
              </w:rPr>
              <w:instrText xml:space="preserve"> PAGEREF _Toc176174744 \h </w:instrText>
            </w:r>
            <w:r>
              <w:rPr>
                <w:noProof/>
                <w:webHidden/>
              </w:rPr>
            </w:r>
            <w:r>
              <w:rPr>
                <w:noProof/>
                <w:webHidden/>
              </w:rPr>
              <w:fldChar w:fldCharType="separate"/>
            </w:r>
            <w:r>
              <w:rPr>
                <w:noProof/>
                <w:webHidden/>
              </w:rPr>
              <w:t>18</w:t>
            </w:r>
            <w:r>
              <w:rPr>
                <w:noProof/>
                <w:webHidden/>
              </w:rPr>
              <w:fldChar w:fldCharType="end"/>
            </w:r>
          </w:hyperlink>
        </w:p>
        <w:p w14:paraId="412CD8CD" w14:textId="612CF0CE" w:rsidR="00C7248B" w:rsidRDefault="00C7248B">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6174745" w:history="1">
            <w:r w:rsidRPr="0060570B">
              <w:rPr>
                <w:rStyle w:val="Hyperlink"/>
                <w:noProof/>
              </w:rPr>
              <w:t>Consulter et enregistrer les erreurs de scan</w:t>
            </w:r>
            <w:r>
              <w:rPr>
                <w:noProof/>
                <w:webHidden/>
              </w:rPr>
              <w:tab/>
            </w:r>
            <w:r>
              <w:rPr>
                <w:noProof/>
                <w:webHidden/>
              </w:rPr>
              <w:fldChar w:fldCharType="begin"/>
            </w:r>
            <w:r>
              <w:rPr>
                <w:noProof/>
                <w:webHidden/>
              </w:rPr>
              <w:instrText xml:space="preserve"> PAGEREF _Toc176174745 \h </w:instrText>
            </w:r>
            <w:r>
              <w:rPr>
                <w:noProof/>
                <w:webHidden/>
              </w:rPr>
            </w:r>
            <w:r>
              <w:rPr>
                <w:noProof/>
                <w:webHidden/>
              </w:rPr>
              <w:fldChar w:fldCharType="separate"/>
            </w:r>
            <w:r>
              <w:rPr>
                <w:noProof/>
                <w:webHidden/>
              </w:rPr>
              <w:t>19</w:t>
            </w:r>
            <w:r>
              <w:rPr>
                <w:noProof/>
                <w:webHidden/>
              </w:rPr>
              <w:fldChar w:fldCharType="end"/>
            </w:r>
          </w:hyperlink>
        </w:p>
        <w:p w14:paraId="7DB1022B" w14:textId="7086018B" w:rsidR="00D11A6D" w:rsidRDefault="00D11A6D">
          <w:r>
            <w:rPr>
              <w:b/>
            </w:rPr>
            <w:fldChar w:fldCharType="end"/>
          </w:r>
        </w:p>
      </w:sdtContent>
    </w:sdt>
    <w:p w14:paraId="7CDAB8E1" w14:textId="77777777" w:rsidR="00146E18" w:rsidRPr="00306AFF" w:rsidRDefault="00146E18">
      <w:pPr>
        <w:rPr>
          <w:rFonts w:ascii="Calibri" w:eastAsia="Calibri" w:hAnsi="Calibri" w:cs="Calibri"/>
          <w:b/>
          <w:sz w:val="22"/>
          <w:szCs w:val="22"/>
          <w:lang w:val="en-GB"/>
        </w:rPr>
      </w:pPr>
    </w:p>
    <w:p w14:paraId="6DF38F0A" w14:textId="77777777" w:rsidR="00146E18" w:rsidRPr="00306AFF" w:rsidRDefault="00146E18">
      <w:pPr>
        <w:rPr>
          <w:rFonts w:ascii="Calibri" w:eastAsia="Calibri" w:hAnsi="Calibri" w:cs="Calibri"/>
          <w:b/>
          <w:sz w:val="22"/>
          <w:szCs w:val="22"/>
          <w:lang w:val="en-GB"/>
        </w:rPr>
      </w:pPr>
    </w:p>
    <w:p w14:paraId="33C363DA" w14:textId="77777777" w:rsidR="00146E18" w:rsidRPr="00306AFF" w:rsidRDefault="008F45CE" w:rsidP="000B08C1">
      <w:pPr>
        <w:rPr>
          <w:rFonts w:ascii="Calibri" w:eastAsia="Calibri" w:hAnsi="Calibri" w:cs="Calibri"/>
          <w:color w:val="1F497D"/>
          <w:sz w:val="22"/>
          <w:szCs w:val="22"/>
        </w:rPr>
      </w:pPr>
      <w:bookmarkStart w:id="0" w:name="_anld28xrsl9v"/>
      <w:bookmarkEnd w:id="0"/>
      <w:r>
        <w:br w:type="page"/>
      </w:r>
    </w:p>
    <w:p w14:paraId="69DA675A" w14:textId="77777777" w:rsidR="00146E18" w:rsidRPr="00306AFF" w:rsidRDefault="008F45CE">
      <w:pPr>
        <w:pStyle w:val="Overskrift1"/>
        <w:spacing w:before="200" w:after="0"/>
      </w:pPr>
      <w:bookmarkStart w:id="1" w:name="_Toc176174730"/>
      <w:r>
        <w:lastRenderedPageBreak/>
        <w:t>Introduction</w:t>
      </w:r>
      <w:bookmarkEnd w:id="1"/>
    </w:p>
    <w:p w14:paraId="7ABBDAA2" w14:textId="77777777" w:rsidR="00146E18" w:rsidRPr="00306AFF" w:rsidRDefault="00146E18">
      <w:pPr>
        <w:pBdr>
          <w:top w:val="nil"/>
          <w:left w:val="nil"/>
          <w:bottom w:val="nil"/>
          <w:right w:val="nil"/>
          <w:between w:val="nil"/>
        </w:pBdr>
        <w:spacing w:after="0"/>
        <w:rPr>
          <w:color w:val="000000"/>
          <w:lang w:val="en-GB"/>
        </w:rPr>
      </w:pPr>
    </w:p>
    <w:p w14:paraId="13BF6B1F" w14:textId="145B49F0" w:rsidR="00146E18" w:rsidRPr="00306AFF" w:rsidRDefault="008F45CE">
      <w:pPr>
        <w:pBdr>
          <w:top w:val="nil"/>
          <w:left w:val="nil"/>
          <w:bottom w:val="nil"/>
          <w:right w:val="nil"/>
          <w:between w:val="nil"/>
        </w:pBdr>
        <w:spacing w:after="0"/>
      </w:pPr>
      <w:r>
        <w:t>En vue d’utiliser eWitness, il faut traiter un certain nombre de paramètres d’installation et de configuration. Ce manuel est conçu pour utiliser eWitness comme système autonome. Pour utiliser eWitness avec eBase, il existe un manuel d’installation distinct.</w:t>
      </w:r>
    </w:p>
    <w:p w14:paraId="317D37E3" w14:textId="77777777" w:rsidR="00146E18" w:rsidRPr="00306AFF" w:rsidRDefault="00146E18">
      <w:pPr>
        <w:pBdr>
          <w:top w:val="nil"/>
          <w:left w:val="nil"/>
          <w:bottom w:val="nil"/>
          <w:right w:val="nil"/>
          <w:between w:val="nil"/>
        </w:pBdr>
        <w:spacing w:after="0"/>
        <w:rPr>
          <w:lang w:val="en-GB"/>
        </w:rPr>
      </w:pPr>
    </w:p>
    <w:p w14:paraId="2BD5DF13" w14:textId="77777777" w:rsidR="00146E18" w:rsidRPr="00306AFF" w:rsidRDefault="008F45CE">
      <w:pPr>
        <w:pStyle w:val="Overskrift1"/>
        <w:spacing w:before="200" w:after="0"/>
      </w:pPr>
      <w:bookmarkStart w:id="2" w:name="_Toc176174731"/>
      <w:r>
        <w:t>Composants et principes de base utilisés dans eWitness</w:t>
      </w:r>
      <w:bookmarkEnd w:id="2"/>
    </w:p>
    <w:p w14:paraId="46DBAD0D" w14:textId="77777777" w:rsidR="00146E18" w:rsidRPr="00306AFF" w:rsidRDefault="00146E18">
      <w:pPr>
        <w:pBdr>
          <w:top w:val="nil"/>
          <w:left w:val="nil"/>
          <w:bottom w:val="nil"/>
          <w:right w:val="nil"/>
          <w:between w:val="nil"/>
        </w:pBdr>
        <w:spacing w:after="0"/>
        <w:rPr>
          <w:b/>
          <w:color w:val="000000"/>
          <w:lang w:val="en-GB"/>
        </w:rPr>
      </w:pPr>
    </w:p>
    <w:p w14:paraId="748A9AB2" w14:textId="7910A1F4" w:rsidR="00146E18" w:rsidRPr="00306AFF" w:rsidRDefault="008F45CE">
      <w:pPr>
        <w:pBdr>
          <w:top w:val="nil"/>
          <w:left w:val="nil"/>
          <w:bottom w:val="nil"/>
          <w:right w:val="nil"/>
          <w:between w:val="nil"/>
        </w:pBdr>
        <w:spacing w:after="0"/>
      </w:pPr>
      <w:r w:rsidRPr="007948B0">
        <w:rPr>
          <w:spacing w:val="-2"/>
        </w:rPr>
        <w:t xml:space="preserve">Pour installer eWitness, il faut configurer un certain nombre d’éléments. L’opération s’articule autour de </w:t>
      </w:r>
      <w:r w:rsidRPr="007948B0">
        <w:t>trois grandes étapes, chacune s’accompagnant d’un menu d’installation correspondant. La première</w:t>
      </w:r>
      <w:r>
        <w:t xml:space="preserve"> étape porte sur la conception des étiquettes. Ce menu sert à configurer les étiquettes et à calculer les étiquettes qui doivent être générées. La deuxième étape concerne la définition des impressions. Les étiquettes sont imprimées via une appli distincte qui est installée sur les scanners de codes-barres dédiés qui font partie de la solution eWitness. La troisième étape concerne la définition des points témoins. Au cours de cette étape, il faut définir le flux de travail.</w:t>
      </w:r>
    </w:p>
    <w:p w14:paraId="045D89BE" w14:textId="77777777" w:rsidR="00146E18" w:rsidRPr="00306AFF" w:rsidRDefault="00146E18">
      <w:pPr>
        <w:pBdr>
          <w:top w:val="nil"/>
          <w:left w:val="nil"/>
          <w:bottom w:val="nil"/>
          <w:right w:val="nil"/>
          <w:between w:val="nil"/>
        </w:pBdr>
        <w:spacing w:after="0"/>
        <w:rPr>
          <w:lang w:val="en-GB"/>
        </w:rPr>
      </w:pPr>
    </w:p>
    <w:p w14:paraId="1379E0DE" w14:textId="126019A8" w:rsidR="00146E18" w:rsidRPr="00306AFF" w:rsidRDefault="008F45CE">
      <w:pPr>
        <w:pBdr>
          <w:top w:val="nil"/>
          <w:left w:val="nil"/>
          <w:bottom w:val="nil"/>
          <w:right w:val="nil"/>
          <w:between w:val="nil"/>
        </w:pBdr>
        <w:spacing w:after="0"/>
      </w:pPr>
      <w:r>
        <w:t xml:space="preserve">Par ailleurs, il y a des menus pour les paramètres utilisateur ainsi que les paramètres des rapports. </w:t>
      </w:r>
      <w:r w:rsidRPr="007948B0">
        <w:rPr>
          <w:spacing w:val="-2"/>
        </w:rPr>
        <w:t>Tous ces paramètres seront expliqués dans les chapitres suivants. Le menu « Settings » (Paramètres)</w:t>
      </w:r>
      <w:r>
        <w:t xml:space="preserve"> se trouve sur le côté gauche de l’écran eWitness principal (fig. 1).</w:t>
      </w:r>
    </w:p>
    <w:p w14:paraId="45B469E2" w14:textId="77777777" w:rsidR="00146E18" w:rsidRPr="00306AFF" w:rsidRDefault="00146E18">
      <w:pPr>
        <w:pBdr>
          <w:top w:val="nil"/>
          <w:left w:val="nil"/>
          <w:bottom w:val="nil"/>
          <w:right w:val="nil"/>
          <w:between w:val="nil"/>
        </w:pBdr>
        <w:spacing w:after="0"/>
        <w:rPr>
          <w:lang w:val="en-GB"/>
        </w:rPr>
      </w:pPr>
    </w:p>
    <w:p w14:paraId="354ED6A6" w14:textId="77777777" w:rsidR="00146E18" w:rsidRPr="00306AFF" w:rsidRDefault="008F45CE">
      <w:pPr>
        <w:pBdr>
          <w:top w:val="nil"/>
          <w:left w:val="nil"/>
          <w:bottom w:val="nil"/>
          <w:right w:val="nil"/>
          <w:between w:val="nil"/>
        </w:pBdr>
        <w:spacing w:after="0"/>
      </w:pPr>
      <w:r>
        <w:rPr>
          <w:noProof/>
        </w:rPr>
        <w:drawing>
          <wp:inline distT="114300" distB="114300" distL="114300" distR="114300" wp14:anchorId="19B5F4F3" wp14:editId="7482E052">
            <wp:extent cx="1752283" cy="3213488"/>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1752283" cy="3213488"/>
                    </a:xfrm>
                    <a:prstGeom prst="rect">
                      <a:avLst/>
                    </a:prstGeom>
                    <a:ln/>
                  </pic:spPr>
                </pic:pic>
              </a:graphicData>
            </a:graphic>
          </wp:inline>
        </w:drawing>
      </w:r>
    </w:p>
    <w:p w14:paraId="2C8D6616" w14:textId="77777777" w:rsidR="00146E18" w:rsidRPr="00306AFF" w:rsidRDefault="008F45CE">
      <w:pPr>
        <w:spacing w:after="0"/>
      </w:pPr>
      <w:r>
        <w:rPr>
          <w:color w:val="666666"/>
          <w:sz w:val="18"/>
        </w:rPr>
        <w:t>Figure 1 : Menu « Settings » (Paramètres)</w:t>
      </w:r>
    </w:p>
    <w:p w14:paraId="47923448" w14:textId="77777777" w:rsidR="00146E18" w:rsidRPr="00306AFF" w:rsidRDefault="00146E18">
      <w:pPr>
        <w:pBdr>
          <w:top w:val="nil"/>
          <w:left w:val="nil"/>
          <w:bottom w:val="nil"/>
          <w:right w:val="nil"/>
          <w:between w:val="nil"/>
        </w:pBdr>
        <w:spacing w:after="0"/>
        <w:rPr>
          <w:lang w:val="en-GB"/>
        </w:rPr>
      </w:pPr>
    </w:p>
    <w:p w14:paraId="4EEC8346" w14:textId="77777777" w:rsidR="00146E18" w:rsidRPr="00306AFF" w:rsidRDefault="00146E18">
      <w:pPr>
        <w:pBdr>
          <w:top w:val="nil"/>
          <w:left w:val="nil"/>
          <w:bottom w:val="nil"/>
          <w:right w:val="nil"/>
          <w:between w:val="nil"/>
        </w:pBdr>
        <w:spacing w:after="0"/>
        <w:rPr>
          <w:lang w:val="en-GB"/>
        </w:rPr>
      </w:pPr>
    </w:p>
    <w:p w14:paraId="6274FB74" w14:textId="77777777" w:rsidR="00146E18" w:rsidRPr="00306AFF" w:rsidRDefault="00146E18">
      <w:pPr>
        <w:pBdr>
          <w:top w:val="nil"/>
          <w:left w:val="nil"/>
          <w:bottom w:val="nil"/>
          <w:right w:val="nil"/>
          <w:between w:val="nil"/>
        </w:pBdr>
        <w:spacing w:after="0"/>
        <w:rPr>
          <w:lang w:val="en-GB"/>
        </w:rPr>
      </w:pPr>
    </w:p>
    <w:p w14:paraId="3CDF87FA" w14:textId="77777777" w:rsidR="00146E18" w:rsidRPr="00306AFF" w:rsidRDefault="00146E18">
      <w:pPr>
        <w:pBdr>
          <w:top w:val="nil"/>
          <w:left w:val="nil"/>
          <w:bottom w:val="nil"/>
          <w:right w:val="nil"/>
          <w:between w:val="nil"/>
        </w:pBdr>
        <w:spacing w:after="0"/>
        <w:rPr>
          <w:lang w:val="en-GB"/>
        </w:rPr>
      </w:pPr>
    </w:p>
    <w:p w14:paraId="66705ECE" w14:textId="77777777" w:rsidR="00146E18" w:rsidRPr="00306AFF" w:rsidRDefault="00146E18">
      <w:pPr>
        <w:pBdr>
          <w:top w:val="nil"/>
          <w:left w:val="nil"/>
          <w:bottom w:val="nil"/>
          <w:right w:val="nil"/>
          <w:between w:val="nil"/>
        </w:pBdr>
        <w:spacing w:after="0"/>
        <w:rPr>
          <w:color w:val="666666"/>
          <w:sz w:val="18"/>
          <w:szCs w:val="18"/>
          <w:lang w:val="en-GB"/>
        </w:rPr>
      </w:pPr>
    </w:p>
    <w:p w14:paraId="7FF1EEA2" w14:textId="77777777" w:rsidR="00146E18" w:rsidRPr="00306AFF" w:rsidRDefault="00146E18">
      <w:pPr>
        <w:pBdr>
          <w:top w:val="nil"/>
          <w:left w:val="nil"/>
          <w:bottom w:val="nil"/>
          <w:right w:val="nil"/>
          <w:between w:val="nil"/>
        </w:pBdr>
        <w:spacing w:after="0"/>
        <w:rPr>
          <w:color w:val="666666"/>
          <w:sz w:val="18"/>
          <w:szCs w:val="18"/>
          <w:lang w:val="en-GB"/>
        </w:rPr>
      </w:pPr>
    </w:p>
    <w:p w14:paraId="7F5CA8F8" w14:textId="77777777" w:rsidR="00146E18" w:rsidRPr="00306AFF" w:rsidRDefault="00146E18">
      <w:pPr>
        <w:spacing w:after="0"/>
        <w:rPr>
          <w:color w:val="666666"/>
          <w:sz w:val="18"/>
          <w:szCs w:val="18"/>
          <w:lang w:val="en-GB"/>
        </w:rPr>
      </w:pPr>
    </w:p>
    <w:p w14:paraId="20CB367F" w14:textId="77777777" w:rsidR="00146E18" w:rsidRPr="00306AFF" w:rsidRDefault="00146E18">
      <w:pPr>
        <w:spacing w:after="0"/>
        <w:rPr>
          <w:color w:val="666666"/>
          <w:sz w:val="18"/>
          <w:szCs w:val="18"/>
          <w:lang w:val="en-GB"/>
        </w:rPr>
      </w:pPr>
    </w:p>
    <w:p w14:paraId="2EF6581E" w14:textId="77777777" w:rsidR="00146E18" w:rsidRPr="00306AFF" w:rsidRDefault="00146E18">
      <w:pPr>
        <w:spacing w:after="0"/>
        <w:rPr>
          <w:color w:val="666666"/>
          <w:sz w:val="18"/>
          <w:szCs w:val="18"/>
          <w:lang w:val="en-GB"/>
        </w:rPr>
      </w:pPr>
    </w:p>
    <w:p w14:paraId="3B9F304B" w14:textId="77777777" w:rsidR="00146E18" w:rsidRPr="00306AFF" w:rsidRDefault="00146E18">
      <w:pPr>
        <w:spacing w:after="0"/>
        <w:rPr>
          <w:color w:val="666666"/>
          <w:sz w:val="18"/>
          <w:szCs w:val="18"/>
          <w:lang w:val="en-GB"/>
        </w:rPr>
      </w:pPr>
    </w:p>
    <w:p w14:paraId="650C8C54" w14:textId="77777777" w:rsidR="00146E18" w:rsidRPr="00306AFF" w:rsidRDefault="00146E18">
      <w:pPr>
        <w:spacing w:after="0"/>
        <w:rPr>
          <w:color w:val="666666"/>
          <w:sz w:val="18"/>
          <w:szCs w:val="18"/>
          <w:lang w:val="en-GB"/>
        </w:rPr>
      </w:pPr>
    </w:p>
    <w:p w14:paraId="2D705F9D" w14:textId="77777777" w:rsidR="00146E18" w:rsidRPr="00306AFF" w:rsidRDefault="00146E18">
      <w:pPr>
        <w:spacing w:after="0"/>
        <w:rPr>
          <w:color w:val="666666"/>
          <w:sz w:val="18"/>
          <w:szCs w:val="18"/>
          <w:lang w:val="en-GB"/>
        </w:rPr>
      </w:pPr>
    </w:p>
    <w:p w14:paraId="4B10CF7E" w14:textId="77777777" w:rsidR="00146E18" w:rsidRPr="00306AFF" w:rsidRDefault="00146E18">
      <w:pPr>
        <w:spacing w:after="0"/>
        <w:rPr>
          <w:color w:val="666666"/>
          <w:sz w:val="18"/>
          <w:szCs w:val="18"/>
          <w:lang w:val="en-GB"/>
        </w:rPr>
      </w:pPr>
    </w:p>
    <w:p w14:paraId="5EF4FD39" w14:textId="77777777" w:rsidR="00146E18" w:rsidRPr="00306AFF" w:rsidRDefault="00146E18">
      <w:pPr>
        <w:spacing w:after="0"/>
        <w:rPr>
          <w:color w:val="666666"/>
          <w:sz w:val="18"/>
          <w:szCs w:val="18"/>
          <w:lang w:val="en-GB"/>
        </w:rPr>
      </w:pPr>
    </w:p>
    <w:p w14:paraId="77A3557C" w14:textId="77777777" w:rsidR="00146E18" w:rsidRPr="00306AFF" w:rsidRDefault="00146E18">
      <w:pPr>
        <w:spacing w:after="0"/>
        <w:rPr>
          <w:color w:val="666666"/>
          <w:sz w:val="18"/>
          <w:szCs w:val="18"/>
          <w:lang w:val="en-GB"/>
        </w:rPr>
      </w:pPr>
    </w:p>
    <w:p w14:paraId="501377D2" w14:textId="77777777" w:rsidR="00146E18" w:rsidRPr="00306AFF" w:rsidRDefault="008F45CE">
      <w:pPr>
        <w:pStyle w:val="Overskrift1"/>
        <w:spacing w:before="200" w:after="0"/>
      </w:pPr>
      <w:bookmarkStart w:id="3" w:name="_Toc176174732"/>
      <w:r>
        <w:lastRenderedPageBreak/>
        <w:t>Configuration du système</w:t>
      </w:r>
      <w:bookmarkEnd w:id="3"/>
    </w:p>
    <w:p w14:paraId="15E8A435" w14:textId="77777777" w:rsidR="00146E18" w:rsidRPr="00306AFF" w:rsidRDefault="00146E18" w:rsidP="00306AFF">
      <w:pPr>
        <w:keepNext/>
        <w:keepLines/>
        <w:spacing w:after="0"/>
        <w:rPr>
          <w:color w:val="666666"/>
          <w:sz w:val="18"/>
          <w:szCs w:val="18"/>
          <w:lang w:val="en-GB"/>
        </w:rPr>
      </w:pPr>
    </w:p>
    <w:p w14:paraId="18F054D5" w14:textId="77777777" w:rsidR="00146E18" w:rsidRPr="00306AFF" w:rsidRDefault="008F45CE">
      <w:pPr>
        <w:pStyle w:val="Overskrift2"/>
        <w:spacing w:after="0"/>
      </w:pPr>
      <w:bookmarkStart w:id="4" w:name="_Toc176174733"/>
      <w:r>
        <w:t>Étape 1 : Conception des étiquettes</w:t>
      </w:r>
      <w:bookmarkEnd w:id="4"/>
    </w:p>
    <w:p w14:paraId="56F31F1B" w14:textId="77777777" w:rsidR="00146E18" w:rsidRPr="00306AFF" w:rsidRDefault="00146E18">
      <w:pPr>
        <w:pBdr>
          <w:top w:val="nil"/>
          <w:left w:val="nil"/>
          <w:bottom w:val="nil"/>
          <w:right w:val="nil"/>
          <w:between w:val="nil"/>
        </w:pBdr>
        <w:spacing w:after="0"/>
        <w:rPr>
          <w:lang w:val="en-GB"/>
        </w:rPr>
      </w:pPr>
    </w:p>
    <w:p w14:paraId="47FD43B2" w14:textId="7B01126D" w:rsidR="00146E18" w:rsidRPr="00306AFF" w:rsidRDefault="008F45CE">
      <w:pPr>
        <w:pBdr>
          <w:top w:val="nil"/>
          <w:left w:val="nil"/>
          <w:bottom w:val="nil"/>
          <w:right w:val="nil"/>
          <w:between w:val="nil"/>
        </w:pBdr>
        <w:spacing w:after="0"/>
      </w:pPr>
      <w:r>
        <w:t xml:space="preserve">Une étiquette est un petit rapport qui combine le langage natif de l’imprimante avec les données d’identification du patient ou de la patiente. Par défaut, les étiquettes sont configurées par eFertility pendant l’installation. L’administrateur local peut changer ou ajouter une définition d’étiquette. Le langage de l’imprimante servant à envoyer les étiquettes vers l’imprimante peut être difficile à créer à </w:t>
      </w:r>
      <w:r w:rsidRPr="00681FD5">
        <w:rPr>
          <w:spacing w:val="-2"/>
        </w:rPr>
        <w:t>partir de zéro, mais il est facilement modifiable. Un rapport visant à générer une conception d’étiquettes</w:t>
      </w:r>
      <w:r>
        <w:t xml:space="preserve"> comporte le type « eWitness » et se compose d’un en-tête et d’un corps de texte. L’en-tête sert à définir l’étiquette, tandis que le corps de texte sert à ajouter les champs de la base de données à la disposition. Le cas échéant, eFertility peut vous accompagner dans la gestion de l’étiquette. En substance, toutes les données disponibles dans eWitness peuvent être utilisées dans le cadre de la conception des étiquettes.</w:t>
      </w:r>
    </w:p>
    <w:p w14:paraId="5A1AEB4A" w14:textId="77777777" w:rsidR="00146E18" w:rsidRPr="00306AFF" w:rsidRDefault="00146E18">
      <w:pPr>
        <w:pBdr>
          <w:top w:val="nil"/>
          <w:left w:val="nil"/>
          <w:bottom w:val="nil"/>
          <w:right w:val="nil"/>
          <w:between w:val="nil"/>
        </w:pBdr>
        <w:spacing w:after="0"/>
        <w:rPr>
          <w:lang w:val="en-GB"/>
        </w:rPr>
      </w:pPr>
    </w:p>
    <w:p w14:paraId="55C157BD" w14:textId="371B72EA" w:rsidR="00146E18" w:rsidRPr="00306AFF" w:rsidRDefault="008F45CE">
      <w:pPr>
        <w:pBdr>
          <w:top w:val="nil"/>
          <w:left w:val="nil"/>
          <w:bottom w:val="nil"/>
          <w:right w:val="nil"/>
          <w:between w:val="nil"/>
        </w:pBdr>
        <w:spacing w:after="0"/>
      </w:pPr>
      <w:r>
        <w:t>Dans le menu « Settings » (Paramètres), cliquez sur « Label design » (Conception des étiquettes). Vous aurez accès à un aperçu de vos étiquettes (fig. 2). Sur cette page, vous pouvez modifier les étiquettes existantes ou en élaborer de nouvelles. Double-cliquez sur une étiquette pour l’ouvrir ou cliquez sur le bouton « +new » (</w:t>
      </w:r>
      <w:r w:rsidR="00CC757C">
        <w:t>+n</w:t>
      </w:r>
      <w:r>
        <w:t>ouveau) pour en créer une nouvelle.</w:t>
      </w:r>
    </w:p>
    <w:p w14:paraId="754FD00A" w14:textId="77777777" w:rsidR="00146E18" w:rsidRPr="00306AFF" w:rsidRDefault="00146E18">
      <w:pPr>
        <w:pBdr>
          <w:top w:val="nil"/>
          <w:left w:val="nil"/>
          <w:bottom w:val="nil"/>
          <w:right w:val="nil"/>
          <w:between w:val="nil"/>
        </w:pBdr>
        <w:spacing w:after="0"/>
        <w:rPr>
          <w:lang w:val="en-GB"/>
        </w:rPr>
      </w:pPr>
    </w:p>
    <w:p w14:paraId="11ECFC6F" w14:textId="77777777" w:rsidR="00146E18" w:rsidRPr="00306AFF" w:rsidRDefault="008F45CE">
      <w:pPr>
        <w:pBdr>
          <w:top w:val="nil"/>
          <w:left w:val="nil"/>
          <w:bottom w:val="nil"/>
          <w:right w:val="nil"/>
          <w:between w:val="nil"/>
        </w:pBdr>
        <w:spacing w:after="0"/>
      </w:pPr>
      <w:r>
        <w:rPr>
          <w:noProof/>
        </w:rPr>
        <w:drawing>
          <wp:inline distT="114300" distB="114300" distL="114300" distR="114300" wp14:anchorId="5BE4A605" wp14:editId="6DC1EDF2">
            <wp:extent cx="5759140" cy="1663700"/>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5759140" cy="1663700"/>
                    </a:xfrm>
                    <a:prstGeom prst="rect">
                      <a:avLst/>
                    </a:prstGeom>
                    <a:ln/>
                  </pic:spPr>
                </pic:pic>
              </a:graphicData>
            </a:graphic>
          </wp:inline>
        </w:drawing>
      </w:r>
    </w:p>
    <w:p w14:paraId="4B9CD7E9" w14:textId="77777777" w:rsidR="00146E18" w:rsidRPr="00306AFF" w:rsidRDefault="008F45CE">
      <w:pPr>
        <w:pBdr>
          <w:top w:val="nil"/>
          <w:left w:val="nil"/>
          <w:bottom w:val="nil"/>
          <w:right w:val="nil"/>
          <w:between w:val="nil"/>
        </w:pBdr>
        <w:spacing w:after="0"/>
        <w:rPr>
          <w:color w:val="666666"/>
          <w:sz w:val="18"/>
          <w:szCs w:val="18"/>
        </w:rPr>
      </w:pPr>
      <w:r>
        <w:rPr>
          <w:color w:val="666666"/>
          <w:sz w:val="18"/>
        </w:rPr>
        <w:t>Figure 2 : Vue d’ensemble de la conception des étiquettes</w:t>
      </w:r>
    </w:p>
    <w:p w14:paraId="5B13D837" w14:textId="77777777" w:rsidR="00146E18" w:rsidRPr="00306AFF" w:rsidRDefault="00146E18">
      <w:pPr>
        <w:rPr>
          <w:lang w:val="en-GB"/>
        </w:rPr>
      </w:pPr>
    </w:p>
    <w:p w14:paraId="235A9644" w14:textId="29DB9ACD" w:rsidR="00146E18" w:rsidRPr="00306AFF" w:rsidRDefault="008F45CE">
      <w:r>
        <w:t>Dès qu’une étiquette est ouverte ou créée, un nouvel écran s’affiche (fig. 3). Vous pouvez y modifier les paramètres de l’étiquette. L’écran comprend deux rubriques : « </w:t>
      </w:r>
      <w:proofErr w:type="spellStart"/>
      <w:r>
        <w:t>template</w:t>
      </w:r>
      <w:proofErr w:type="spellEnd"/>
      <w:r>
        <w:t> » (modèle) et « </w:t>
      </w:r>
      <w:proofErr w:type="spellStart"/>
      <w:r>
        <w:t>query</w:t>
      </w:r>
      <w:proofErr w:type="spellEnd"/>
      <w:r>
        <w:t> » (requête). Utilisez la rubrique « </w:t>
      </w:r>
      <w:proofErr w:type="spellStart"/>
      <w:r>
        <w:t>template</w:t>
      </w:r>
      <w:proofErr w:type="spellEnd"/>
      <w:r>
        <w:t> » (modèle) pour configurer le type, le nom, la date et le groupe de l’étiquette, ainsi que l’état (actif/inactif). La date, le nom et le type s’afficheront sur la page de la vue d’ensemble. Le groupe de rapports sera utilisé pour regrouper les étiquettes dans la fonctionnalité « Reports » (Rapports).</w:t>
      </w:r>
    </w:p>
    <w:p w14:paraId="654371D6" w14:textId="1D9FE554" w:rsidR="00146E18" w:rsidRPr="00306AFF" w:rsidRDefault="008F45CE">
      <w:r>
        <w:t>Dans la rubrique « </w:t>
      </w:r>
      <w:proofErr w:type="spellStart"/>
      <w:r>
        <w:t>query</w:t>
      </w:r>
      <w:proofErr w:type="spellEnd"/>
      <w:r>
        <w:t> » (requête), il est possible de modifier le code réel. Si vous ne vous sentez pas à l’aise pour le faire vous-même, n’hésitez pas à contacter eFertility pour solliciter de l’aide. Dès que vous avez terminé, cliquez sur le bouton « </w:t>
      </w:r>
      <w:proofErr w:type="spellStart"/>
      <w:r w:rsidR="00CC757C">
        <w:t>save</w:t>
      </w:r>
      <w:proofErr w:type="spellEnd"/>
      <w:r w:rsidR="00CC757C">
        <w:t> </w:t>
      </w:r>
      <w:r>
        <w:t>» (</w:t>
      </w:r>
      <w:r w:rsidR="00CC757C">
        <w:t>sauvegarder</w:t>
      </w:r>
      <w:r>
        <w:t>) pour enregistrer votre travail.</w:t>
      </w:r>
    </w:p>
    <w:p w14:paraId="6773155A" w14:textId="77777777" w:rsidR="00146E18" w:rsidRPr="00306AFF" w:rsidRDefault="008F45CE">
      <w:pPr>
        <w:rPr>
          <w:color w:val="666666"/>
          <w:sz w:val="18"/>
          <w:szCs w:val="18"/>
        </w:rPr>
      </w:pPr>
      <w:r>
        <w:rPr>
          <w:noProof/>
        </w:rPr>
        <w:lastRenderedPageBreak/>
        <w:drawing>
          <wp:inline distT="114300" distB="114300" distL="114300" distR="114300" wp14:anchorId="43D25ED7" wp14:editId="788D36BE">
            <wp:extent cx="5772750" cy="4543107"/>
            <wp:effectExtent l="0" t="0" r="0" b="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5772750" cy="4543107"/>
                    </a:xfrm>
                    <a:prstGeom prst="rect">
                      <a:avLst/>
                    </a:prstGeom>
                    <a:ln/>
                  </pic:spPr>
                </pic:pic>
              </a:graphicData>
            </a:graphic>
          </wp:inline>
        </w:drawing>
      </w:r>
      <w:r>
        <w:rPr>
          <w:color w:val="666666"/>
          <w:sz w:val="18"/>
        </w:rPr>
        <w:t>Figure 3 : Modification d’une étiquette</w:t>
      </w:r>
    </w:p>
    <w:p w14:paraId="45070C24" w14:textId="77777777" w:rsidR="00146E18" w:rsidRPr="00306AFF" w:rsidRDefault="00146E18">
      <w:pPr>
        <w:rPr>
          <w:color w:val="666666"/>
          <w:sz w:val="18"/>
          <w:szCs w:val="18"/>
          <w:lang w:val="en-GB"/>
        </w:rPr>
      </w:pPr>
    </w:p>
    <w:p w14:paraId="3A6990E1" w14:textId="77777777" w:rsidR="00146E18" w:rsidRPr="00306AFF" w:rsidRDefault="008F45CE">
      <w:pPr>
        <w:pStyle w:val="Overskrift2"/>
        <w:spacing w:after="0"/>
      </w:pPr>
      <w:bookmarkStart w:id="5" w:name="_Toc176174734"/>
      <w:r>
        <w:t>Étape 2 : Définition des impressions</w:t>
      </w:r>
      <w:bookmarkEnd w:id="5"/>
    </w:p>
    <w:p w14:paraId="7EE7CC5E" w14:textId="77777777" w:rsidR="00146E18" w:rsidRPr="00306AFF" w:rsidRDefault="00146E18">
      <w:pPr>
        <w:spacing w:after="0"/>
        <w:rPr>
          <w:lang w:val="en-GB"/>
        </w:rPr>
      </w:pPr>
    </w:p>
    <w:p w14:paraId="1D98410A" w14:textId="68CE70FA" w:rsidR="00146E18" w:rsidRPr="00306AFF" w:rsidRDefault="008F45CE">
      <w:pPr>
        <w:spacing w:after="0"/>
      </w:pPr>
      <w:r>
        <w:t>Dans une définition des impressions, vous configurez la date des étiquettes, leur nature et leur nombre. Vous pouvez regrouper différentes définitions d’impressions dans un menu ou les maintenir dans des emplacements séparés. Cela peut être paramétré de sorte à refléter le processus interne dans la clinique.</w:t>
      </w:r>
    </w:p>
    <w:p w14:paraId="7503DF17" w14:textId="77777777" w:rsidR="00146E18" w:rsidRPr="00306AFF" w:rsidRDefault="00146E18">
      <w:pPr>
        <w:spacing w:after="0"/>
        <w:rPr>
          <w:lang w:val="en-GB"/>
        </w:rPr>
      </w:pPr>
    </w:p>
    <w:p w14:paraId="309279FB" w14:textId="6B9B6AB0" w:rsidR="00146E18" w:rsidRPr="00306AFF" w:rsidRDefault="008F45CE">
      <w:pPr>
        <w:spacing w:after="0"/>
      </w:pPr>
      <w:r>
        <w:t>Dans le menu « Settings » (Paramètres), cliquez sur « </w:t>
      </w:r>
      <w:proofErr w:type="spellStart"/>
      <w:r>
        <w:t>Print</w:t>
      </w:r>
      <w:proofErr w:type="spellEnd"/>
      <w:r>
        <w:t xml:space="preserve"> </w:t>
      </w:r>
      <w:proofErr w:type="spellStart"/>
      <w:r>
        <w:t>definition</w:t>
      </w:r>
      <w:proofErr w:type="spellEnd"/>
      <w:r>
        <w:t> » (Définition des impressions). Cela vous donnera un aperçu des définitions de vos impressions (fig. 4). Sur cette page, vous pouvez modifier les définitions existantes ou en élaborer de nouvelles. Double-cliquez sur une définition pour l’ouvrir ou cliquez sur le bouton « +new » (</w:t>
      </w:r>
      <w:r w:rsidR="00D30FD5">
        <w:t>+n</w:t>
      </w:r>
      <w:r>
        <w:t>ouveau) pour en créer une nouvelle.</w:t>
      </w:r>
    </w:p>
    <w:p w14:paraId="7E5E5923" w14:textId="77777777" w:rsidR="00146E18" w:rsidRPr="00306AFF" w:rsidRDefault="00146E18">
      <w:pPr>
        <w:spacing w:after="0"/>
        <w:rPr>
          <w:lang w:val="en-GB"/>
        </w:rPr>
      </w:pPr>
    </w:p>
    <w:p w14:paraId="048E9472" w14:textId="77777777" w:rsidR="00146E18" w:rsidRPr="00306AFF" w:rsidRDefault="00146E18">
      <w:pPr>
        <w:rPr>
          <w:lang w:val="en-GB"/>
        </w:rPr>
      </w:pPr>
    </w:p>
    <w:p w14:paraId="6CE18F49" w14:textId="77777777" w:rsidR="00146E18" w:rsidRPr="00306AFF" w:rsidRDefault="00146E18">
      <w:pPr>
        <w:spacing w:after="0"/>
        <w:rPr>
          <w:lang w:val="en-GB"/>
        </w:rPr>
      </w:pPr>
    </w:p>
    <w:p w14:paraId="2442D45D" w14:textId="77777777" w:rsidR="00146E18" w:rsidRPr="00306AFF" w:rsidRDefault="008F45CE">
      <w:pPr>
        <w:rPr>
          <w:color w:val="666666"/>
          <w:sz w:val="18"/>
          <w:szCs w:val="18"/>
        </w:rPr>
      </w:pPr>
      <w:r>
        <w:rPr>
          <w:noProof/>
        </w:rPr>
        <w:lastRenderedPageBreak/>
        <w:drawing>
          <wp:inline distT="114300" distB="114300" distL="114300" distR="114300" wp14:anchorId="5C7A12A7" wp14:editId="522A85C8">
            <wp:extent cx="5759140" cy="29337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5759140" cy="2933700"/>
                    </a:xfrm>
                    <a:prstGeom prst="rect">
                      <a:avLst/>
                    </a:prstGeom>
                    <a:ln/>
                  </pic:spPr>
                </pic:pic>
              </a:graphicData>
            </a:graphic>
          </wp:inline>
        </w:drawing>
      </w:r>
      <w:r>
        <w:rPr>
          <w:color w:val="666666"/>
          <w:sz w:val="18"/>
        </w:rPr>
        <w:t>Figure 4 : Vue d’ensemble des définitions des impressions</w:t>
      </w:r>
    </w:p>
    <w:p w14:paraId="32D9BC8B" w14:textId="367BED18" w:rsidR="00146E18" w:rsidRPr="00306AFF" w:rsidRDefault="008F45CE">
      <w:r w:rsidRPr="00B03B7E">
        <w:rPr>
          <w:spacing w:val="-2"/>
        </w:rPr>
        <w:t>Dès qu’une définition d’impression est ouverte ou créée, un nouvel écran s’affiche (fig. 5). Vous pouvez</w:t>
      </w:r>
      <w:r>
        <w:t xml:space="preserve"> y modifier les paramètres de la définition. L’écran comprend trois rubriques : « </w:t>
      </w:r>
      <w:proofErr w:type="spellStart"/>
      <w:r>
        <w:t>print</w:t>
      </w:r>
      <w:proofErr w:type="spellEnd"/>
      <w:r>
        <w:t xml:space="preserve">-out </w:t>
      </w:r>
      <w:proofErr w:type="spellStart"/>
      <w:r>
        <w:t>definition</w:t>
      </w:r>
      <w:proofErr w:type="spellEnd"/>
      <w:r>
        <w:t> » (définition de l’impression), « </w:t>
      </w:r>
      <w:proofErr w:type="spellStart"/>
      <w:r>
        <w:t>linked</w:t>
      </w:r>
      <w:proofErr w:type="spellEnd"/>
      <w:r>
        <w:t xml:space="preserve"> to » (concernant) et « </w:t>
      </w:r>
      <w:proofErr w:type="spellStart"/>
      <w:r>
        <w:t>template</w:t>
      </w:r>
      <w:proofErr w:type="spellEnd"/>
      <w:r>
        <w:t> » (modèle). Utilisez la rubrique « </w:t>
      </w:r>
      <w:proofErr w:type="spellStart"/>
      <w:r>
        <w:t>print</w:t>
      </w:r>
      <w:proofErr w:type="spellEnd"/>
      <w:r>
        <w:t xml:space="preserve">-out </w:t>
      </w:r>
      <w:proofErr w:type="spellStart"/>
      <w:r>
        <w:t>definition</w:t>
      </w:r>
      <w:proofErr w:type="spellEnd"/>
      <w:r>
        <w:t> » (définition de l’impression) pour configurer la description de l’élément, le menu, l’entité, le jour et l’ordre d’affichage. La description de l’élément, le menu, l’entité et le jour s’afficheront sur l’écran de présentation globale. L’ordre d’affichage peut servir à modifier l’ordre d’affichage sur l’écran de présentation globale.</w:t>
      </w:r>
    </w:p>
    <w:p w14:paraId="6622E248" w14:textId="52D12419" w:rsidR="00146E18" w:rsidRPr="00306AFF" w:rsidRDefault="008F45CE">
      <w:r>
        <w:t>L’option de menu sera utilisée dans l’appli distincte de l’imprimante. Pour l’entité, il existe un certain nombre d’options :</w:t>
      </w:r>
    </w:p>
    <w:p w14:paraId="634FD06D" w14:textId="408934A5" w:rsidR="00146E18" w:rsidRPr="00306AFF" w:rsidRDefault="008F45CE">
      <w:r>
        <w:rPr>
          <w:b/>
        </w:rPr>
        <w:t>OPU</w:t>
      </w:r>
      <w:r w:rsidRPr="00114A8E">
        <w:rPr>
          <w:bCs/>
        </w:rPr>
        <w:t xml:space="preserve"> (</w:t>
      </w:r>
      <w:r w:rsidR="00114A8E" w:rsidRPr="00114A8E">
        <w:rPr>
          <w:bCs/>
        </w:rPr>
        <w:t xml:space="preserve">Ponction </w:t>
      </w:r>
      <w:r w:rsidRPr="00114A8E">
        <w:rPr>
          <w:bCs/>
        </w:rPr>
        <w:t>ovocytaire)</w:t>
      </w:r>
      <w:r>
        <w:t xml:space="preserve"> - Toutes les patientes associées à une date de prélèvement seront sélectionnées. Cela sert généralement à étiqueter les boîtes et d’autres plastiques « frais ».</w:t>
      </w:r>
    </w:p>
    <w:p w14:paraId="07FBD180" w14:textId="4B852A93" w:rsidR="00146E18" w:rsidRPr="00306AFF" w:rsidRDefault="008F45CE">
      <w:proofErr w:type="spellStart"/>
      <w:r>
        <w:rPr>
          <w:b/>
        </w:rPr>
        <w:t>Semen</w:t>
      </w:r>
      <w:proofErr w:type="spellEnd"/>
      <w:r w:rsidRPr="00114A8E">
        <w:rPr>
          <w:bCs/>
        </w:rPr>
        <w:t xml:space="preserve"> (</w:t>
      </w:r>
      <w:r w:rsidR="00114A8E" w:rsidRPr="00114A8E">
        <w:rPr>
          <w:bCs/>
        </w:rPr>
        <w:t>Sperme</w:t>
      </w:r>
      <w:r w:rsidRPr="00114A8E">
        <w:rPr>
          <w:bCs/>
        </w:rPr>
        <w:t>)</w:t>
      </w:r>
      <w:r>
        <w:rPr>
          <w:b/>
        </w:rPr>
        <w:t xml:space="preserve"> </w:t>
      </w:r>
      <w:r>
        <w:t>- Toutes les étiquettes portant sur du sperme frais. La sélection des patients dépend de la date de production. Cela peut également servir pour l’étiquetage portant sur l’insémination intra-utérine (IIU).</w:t>
      </w:r>
    </w:p>
    <w:p w14:paraId="62A0BE31" w14:textId="154A981D" w:rsidR="00146E18" w:rsidRPr="00306AFF" w:rsidRDefault="008F45CE">
      <w:proofErr w:type="spellStart"/>
      <w:r>
        <w:rPr>
          <w:b/>
        </w:rPr>
        <w:t>Thaw</w:t>
      </w:r>
      <w:proofErr w:type="spellEnd"/>
      <w:r>
        <w:rPr>
          <w:b/>
        </w:rPr>
        <w:t xml:space="preserve"> </w:t>
      </w:r>
      <w:proofErr w:type="spellStart"/>
      <w:r>
        <w:rPr>
          <w:b/>
        </w:rPr>
        <w:t>semen</w:t>
      </w:r>
      <w:proofErr w:type="spellEnd"/>
      <w:r w:rsidRPr="00114A8E">
        <w:rPr>
          <w:bCs/>
        </w:rPr>
        <w:t xml:space="preserve"> (</w:t>
      </w:r>
      <w:r w:rsidR="00114A8E" w:rsidRPr="00114A8E">
        <w:rPr>
          <w:bCs/>
        </w:rPr>
        <w:t xml:space="preserve">Décongeler </w:t>
      </w:r>
      <w:r w:rsidRPr="00114A8E">
        <w:rPr>
          <w:bCs/>
        </w:rPr>
        <w:t>le sperme)</w:t>
      </w:r>
      <w:r>
        <w:t xml:space="preserve"> - Des étiquettes seront générées en faveur des patientes pour lesquelles la fonctionnalité « use cryo </w:t>
      </w:r>
      <w:proofErr w:type="spellStart"/>
      <w:r>
        <w:t>semen</w:t>
      </w:r>
      <w:proofErr w:type="spellEnd"/>
      <w:r>
        <w:t> » (utiliser le sperme cryogénisé) a été activée dans le système.</w:t>
      </w:r>
    </w:p>
    <w:p w14:paraId="4BAD3B76" w14:textId="11FD59AA" w:rsidR="00146E18" w:rsidRPr="00306AFF" w:rsidRDefault="008F45CE">
      <w:proofErr w:type="spellStart"/>
      <w:r>
        <w:rPr>
          <w:b/>
        </w:rPr>
        <w:t>Thaw</w:t>
      </w:r>
      <w:proofErr w:type="spellEnd"/>
      <w:r>
        <w:rPr>
          <w:b/>
        </w:rPr>
        <w:t xml:space="preserve"> oocytes</w:t>
      </w:r>
      <w:r w:rsidRPr="00114A8E">
        <w:rPr>
          <w:bCs/>
        </w:rPr>
        <w:t xml:space="preserve"> (</w:t>
      </w:r>
      <w:r w:rsidR="00114A8E" w:rsidRPr="00114A8E">
        <w:rPr>
          <w:bCs/>
        </w:rPr>
        <w:t xml:space="preserve">Décongeler </w:t>
      </w:r>
      <w:r w:rsidRPr="00114A8E">
        <w:rPr>
          <w:bCs/>
        </w:rPr>
        <w:t>les ovocytes)</w:t>
      </w:r>
      <w:r>
        <w:rPr>
          <w:b/>
        </w:rPr>
        <w:t xml:space="preserve"> </w:t>
      </w:r>
      <w:r>
        <w:t xml:space="preserve">- Des étiquettes pour les ovocytes </w:t>
      </w:r>
      <w:proofErr w:type="spellStart"/>
      <w:r>
        <w:t>cryopréservés</w:t>
      </w:r>
      <w:proofErr w:type="spellEnd"/>
      <w:r>
        <w:t xml:space="preserve"> qui sont </w:t>
      </w:r>
      <w:r w:rsidRPr="00A4790B">
        <w:t xml:space="preserve">utilisés. En fonction de l’activation de la fonctionnalité « use cryo </w:t>
      </w:r>
      <w:r w:rsidR="00A4790B" w:rsidRPr="00A4790B">
        <w:t>oocytes</w:t>
      </w:r>
      <w:r w:rsidRPr="00A4790B">
        <w:t> » (utiliser le</w:t>
      </w:r>
      <w:r w:rsidR="00A4790B" w:rsidRPr="00A4790B">
        <w:t>s ovocytes</w:t>
      </w:r>
      <w:r w:rsidRPr="00A4790B">
        <w:t xml:space="preserve"> cryogénisé</w:t>
      </w:r>
      <w:r w:rsidR="00A4790B" w:rsidRPr="00A4790B">
        <w:t>s</w:t>
      </w:r>
      <w:r w:rsidRPr="00A4790B">
        <w:t>)</w:t>
      </w:r>
      <w:r>
        <w:t xml:space="preserve"> dans un cycle témoin.</w:t>
      </w:r>
    </w:p>
    <w:p w14:paraId="4FCEF9A7" w14:textId="15272EF6" w:rsidR="00146E18" w:rsidRPr="00306AFF" w:rsidRDefault="008F45CE">
      <w:r>
        <w:rPr>
          <w:b/>
        </w:rPr>
        <w:t xml:space="preserve">Freeze </w:t>
      </w:r>
      <w:proofErr w:type="spellStart"/>
      <w:r>
        <w:rPr>
          <w:b/>
        </w:rPr>
        <w:t>semen</w:t>
      </w:r>
      <w:proofErr w:type="spellEnd"/>
      <w:r w:rsidRPr="00114A8E">
        <w:rPr>
          <w:bCs/>
        </w:rPr>
        <w:t xml:space="preserve"> (</w:t>
      </w:r>
      <w:r w:rsidR="00114A8E" w:rsidRPr="00114A8E">
        <w:rPr>
          <w:bCs/>
        </w:rPr>
        <w:t xml:space="preserve">Congeler </w:t>
      </w:r>
      <w:r w:rsidRPr="00114A8E">
        <w:rPr>
          <w:bCs/>
        </w:rPr>
        <w:t>le sperme)</w:t>
      </w:r>
      <w:r>
        <w:t xml:space="preserve"> - Sert à étiqueter les pailles dans le cadre du processus relatif au sperme cryogénisé.</w:t>
      </w:r>
    </w:p>
    <w:p w14:paraId="524C6910" w14:textId="342A886A" w:rsidR="00146E18" w:rsidRPr="00306AFF" w:rsidRDefault="008F45CE">
      <w:r w:rsidRPr="00E80CF2">
        <w:rPr>
          <w:b/>
          <w:spacing w:val="-2"/>
        </w:rPr>
        <w:t xml:space="preserve">Freeze </w:t>
      </w:r>
      <w:proofErr w:type="spellStart"/>
      <w:r w:rsidRPr="00E80CF2">
        <w:rPr>
          <w:b/>
          <w:spacing w:val="-2"/>
        </w:rPr>
        <w:t>emb</w:t>
      </w:r>
      <w:proofErr w:type="spellEnd"/>
      <w:r w:rsidRPr="00E80CF2">
        <w:rPr>
          <w:b/>
          <w:spacing w:val="-2"/>
        </w:rPr>
        <w:t>/</w:t>
      </w:r>
      <w:proofErr w:type="spellStart"/>
      <w:r w:rsidRPr="00E80CF2">
        <w:rPr>
          <w:b/>
          <w:spacing w:val="-2"/>
        </w:rPr>
        <w:t>ooc</w:t>
      </w:r>
      <w:proofErr w:type="spellEnd"/>
      <w:r w:rsidRPr="00E80CF2">
        <w:rPr>
          <w:bCs/>
          <w:spacing w:val="-2"/>
        </w:rPr>
        <w:t xml:space="preserve"> (</w:t>
      </w:r>
      <w:r w:rsidR="00114A8E" w:rsidRPr="00E80CF2">
        <w:rPr>
          <w:bCs/>
          <w:spacing w:val="-2"/>
        </w:rPr>
        <w:t xml:space="preserve">Congeler </w:t>
      </w:r>
      <w:r w:rsidRPr="00E80CF2">
        <w:rPr>
          <w:bCs/>
          <w:spacing w:val="-2"/>
        </w:rPr>
        <w:t>les embryons/ovocytes)</w:t>
      </w:r>
      <w:r w:rsidRPr="00E80CF2">
        <w:rPr>
          <w:spacing w:val="-2"/>
        </w:rPr>
        <w:t xml:space="preserve"> - Sert à étiqueter les pailles contenant les ovocytes</w:t>
      </w:r>
      <w:r>
        <w:t xml:space="preserve"> ou les embryons.</w:t>
      </w:r>
    </w:p>
    <w:p w14:paraId="58676C25" w14:textId="4DBA0D7D" w:rsidR="00146E18" w:rsidRPr="00306AFF" w:rsidRDefault="008F45CE">
      <w:r>
        <w:t>Le champ intitulé « printer offset » (offset de l'imprimante) peut servir à donner un offset unique à une tâche d’impression spécifique. Dans la mesure où toutes les étiquettes générées dans eWitness doivent être uniques, vous pouvez utiliser cette fonction au moment de combiner plusieurs étiquettes dans une même étape témoin.</w:t>
      </w:r>
    </w:p>
    <w:p w14:paraId="12AC9F69" w14:textId="0E550994" w:rsidR="00146E18" w:rsidRPr="00306AFF" w:rsidRDefault="008F45CE">
      <w:r>
        <w:t>La rubrique « </w:t>
      </w:r>
      <w:proofErr w:type="spellStart"/>
      <w:r>
        <w:t>linked</w:t>
      </w:r>
      <w:proofErr w:type="spellEnd"/>
      <w:r>
        <w:t xml:space="preserve"> to » (concernant) sert à relier la définition à un type de traitement. En utilisant les </w:t>
      </w:r>
      <w:r w:rsidRPr="00E75FF5">
        <w:rPr>
          <w:spacing w:val="-2"/>
        </w:rPr>
        <w:t xml:space="preserve">champs portant sur l’exclusion et la formule de quantité, vous pouvez définir le nombre d’étiquettes </w:t>
      </w:r>
      <w:r w:rsidRPr="00E75FF5">
        <w:rPr>
          <w:spacing w:val="-2"/>
        </w:rPr>
        <w:lastRenderedPageBreak/>
        <w:t>par</w:t>
      </w:r>
      <w:r>
        <w:t xml:space="preserve"> défaut qui doivent être générées. eWitness utilise des étiquettes uniques, donc le nombre permettra </w:t>
      </w:r>
      <w:r w:rsidRPr="00E75FF5">
        <w:rPr>
          <w:spacing w:val="-2"/>
        </w:rPr>
        <w:t>aussi de déterminer le nombre de codes-barres uniques à générer. Le champ peut contenir un nombre</w:t>
      </w:r>
      <w:r>
        <w:t xml:space="preserve"> unique ou afficher des données provenant du système eWitness afin de déterminer le nombre d’étiquettes. Par exemple, dans le processus portant sur les embryons/ovocytes cryogénisés, le </w:t>
      </w:r>
      <w:r w:rsidRPr="00E75FF5">
        <w:rPr>
          <w:spacing w:val="-2"/>
        </w:rPr>
        <w:t xml:space="preserve">nombre d’ovocytes/embryons qui doivent être </w:t>
      </w:r>
      <w:proofErr w:type="spellStart"/>
      <w:r w:rsidRPr="00E75FF5">
        <w:rPr>
          <w:spacing w:val="-2"/>
        </w:rPr>
        <w:t>cryopréservés</w:t>
      </w:r>
      <w:proofErr w:type="spellEnd"/>
      <w:r w:rsidRPr="00E75FF5">
        <w:rPr>
          <w:spacing w:val="-2"/>
        </w:rPr>
        <w:t xml:space="preserve"> peut servir à définir le nombre d’étiquettes.</w:t>
      </w:r>
      <w:r>
        <w:t xml:space="preserve"> </w:t>
      </w:r>
      <w:r w:rsidRPr="00E75FF5">
        <w:rPr>
          <w:spacing w:val="-2"/>
        </w:rPr>
        <w:t>Autrement, le volume d’une production de sperme pourrait modifier le nombre d’étiquettes nécessaires.</w:t>
      </w:r>
      <w:r>
        <w:t xml:space="preserve"> Lorsque le nombre doit se fonder sur une formule, eFertility peut vous aider dans le cadre de la définition.</w:t>
      </w:r>
    </w:p>
    <w:p w14:paraId="036C3C11" w14:textId="1988CD46" w:rsidR="00146E18" w:rsidRPr="00306AFF" w:rsidRDefault="008F45CE">
      <w:r>
        <w:t>La rubrique « </w:t>
      </w:r>
      <w:proofErr w:type="spellStart"/>
      <w:r>
        <w:t>template</w:t>
      </w:r>
      <w:proofErr w:type="spellEnd"/>
      <w:r>
        <w:t xml:space="preserve"> » (modèle) relie la définition à la conception des étiquettes. Utilisez le bouton </w:t>
      </w:r>
      <w:r>
        <w:rPr>
          <w:rFonts w:ascii="Segoe UI Emoji" w:hAnsi="Segoe UI Emoji"/>
        </w:rPr>
        <w:t>🔍</w:t>
      </w:r>
      <w:r>
        <w:t xml:space="preserve"> pour sélectionner l’étiquette souhaitée. Dès que vous avez terminé, cliquez sur le bouton « </w:t>
      </w:r>
      <w:proofErr w:type="spellStart"/>
      <w:r w:rsidR="00F76DD8">
        <w:t>save</w:t>
      </w:r>
      <w:proofErr w:type="spellEnd"/>
      <w:r w:rsidR="00F76DD8">
        <w:t> </w:t>
      </w:r>
      <w:r>
        <w:t>» (</w:t>
      </w:r>
      <w:r w:rsidR="00F76DD8">
        <w:t>sauvegarder</w:t>
      </w:r>
      <w:r>
        <w:t>) pour enregistrer votre travail.</w:t>
      </w:r>
    </w:p>
    <w:p w14:paraId="6A48FF23" w14:textId="63BB2C0A" w:rsidR="00146E18" w:rsidRPr="00306AFF" w:rsidRDefault="008F45CE">
      <w:r>
        <w:t xml:space="preserve">Enfin, le champ « printer </w:t>
      </w:r>
      <w:proofErr w:type="spellStart"/>
      <w:r>
        <w:t>name</w:t>
      </w:r>
      <w:proofErr w:type="spellEnd"/>
      <w:r>
        <w:t> » (nom de l’imprimante) sert à présélectionner l’imprimante adéquate afin de générer l’étiquette. Toute partie du nom de l’imprimante sert à limiter la liste des imprimantes. Ainsi, vous ne risquez pas d’envoyer des étiquettes vers la mauvaise imprimante.</w:t>
      </w:r>
    </w:p>
    <w:p w14:paraId="0D70CCF1" w14:textId="77777777" w:rsidR="00146E18" w:rsidRPr="00306AFF" w:rsidRDefault="008F45CE">
      <w:r>
        <w:rPr>
          <w:noProof/>
        </w:rPr>
        <w:drawing>
          <wp:inline distT="114300" distB="114300" distL="114300" distR="114300" wp14:anchorId="445B1FD3" wp14:editId="76E0B724">
            <wp:extent cx="5759140" cy="34671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759140" cy="3467100"/>
                    </a:xfrm>
                    <a:prstGeom prst="rect">
                      <a:avLst/>
                    </a:prstGeom>
                    <a:ln/>
                  </pic:spPr>
                </pic:pic>
              </a:graphicData>
            </a:graphic>
          </wp:inline>
        </w:drawing>
      </w:r>
      <w:r>
        <w:rPr>
          <w:color w:val="666666"/>
          <w:sz w:val="18"/>
        </w:rPr>
        <w:t>Figure 5 : Modifier la définition d’une impression</w:t>
      </w:r>
    </w:p>
    <w:p w14:paraId="3B72EA41" w14:textId="079BADEC" w:rsidR="00146E18" w:rsidRPr="00306AFF" w:rsidRDefault="008F45CE">
      <w:pPr>
        <w:pBdr>
          <w:top w:val="nil"/>
          <w:left w:val="nil"/>
          <w:bottom w:val="nil"/>
          <w:right w:val="nil"/>
          <w:between w:val="nil"/>
        </w:pBdr>
      </w:pPr>
      <w:r>
        <w:t>Lorsque vous utilisez l’outil d’impression, ces définitions s’affichent et concernent les patientes sur l’écran d’aperçu du suivi témoin. Dans cet outil, les cycles témoins concernent les définitions des étiquettes.</w:t>
      </w:r>
    </w:p>
    <w:p w14:paraId="42919C00" w14:textId="349B7CDA" w:rsidR="00146E18" w:rsidRDefault="008F45CE" w:rsidP="00540BBA">
      <w:pPr>
        <w:pBdr>
          <w:top w:val="nil"/>
          <w:left w:val="nil"/>
          <w:bottom w:val="nil"/>
          <w:right w:val="nil"/>
          <w:between w:val="nil"/>
        </w:pBdr>
        <w:spacing w:after="120"/>
        <w:ind w:right="-144"/>
        <w:rPr>
          <w:i/>
        </w:rPr>
      </w:pPr>
      <w:r>
        <w:rPr>
          <w:i/>
        </w:rPr>
        <w:t>Attention : Il convient de rappeler que les étiquettes imprimées comportent des données sensibles sur les patient(e)s. D’ailleurs, la feuille d’encre contient les mêmes données (à l’envers). Veuillez vous assurer que les étiquettes et la feuille d’encre sont toutes convenablement mises au rebut après utilisation.</w:t>
      </w:r>
    </w:p>
    <w:p w14:paraId="0B12896A" w14:textId="77777777" w:rsidR="00F81B11" w:rsidRPr="00306AFF" w:rsidRDefault="00F81B11" w:rsidP="00F81B11">
      <w:pPr>
        <w:pBdr>
          <w:top w:val="nil"/>
          <w:left w:val="nil"/>
          <w:bottom w:val="nil"/>
          <w:right w:val="nil"/>
          <w:between w:val="nil"/>
        </w:pBdr>
        <w:spacing w:after="0"/>
        <w:rPr>
          <w:i/>
          <w:lang w:val="en-GB"/>
        </w:rPr>
      </w:pPr>
    </w:p>
    <w:p w14:paraId="671A846A" w14:textId="77777777" w:rsidR="00146E18" w:rsidRPr="00306AFF" w:rsidRDefault="008F45CE">
      <w:pPr>
        <w:pStyle w:val="Overskrift2"/>
        <w:spacing w:after="0"/>
      </w:pPr>
      <w:bookmarkStart w:id="6" w:name="_Toc176174735"/>
      <w:r>
        <w:t>Étape 3 : Définir des points témoins</w:t>
      </w:r>
      <w:bookmarkEnd w:id="6"/>
    </w:p>
    <w:p w14:paraId="7F56BD3B" w14:textId="77777777" w:rsidR="00146E18" w:rsidRPr="00306AFF" w:rsidRDefault="00146E18">
      <w:pPr>
        <w:spacing w:after="0"/>
        <w:rPr>
          <w:lang w:val="en-GB"/>
        </w:rPr>
      </w:pPr>
    </w:p>
    <w:p w14:paraId="3DA681C3" w14:textId="3A09152A" w:rsidR="00146E18" w:rsidRPr="00306AFF" w:rsidRDefault="008F45CE">
      <w:pPr>
        <w:spacing w:after="0"/>
      </w:pPr>
      <w:r>
        <w:t xml:space="preserve">La dernière étape dans la configuration de l’appli eWitness porte sur la définition des points témoins concrets. En utilisant les étapes du processus de votre clinique, les points témoins sont déclenchés aux stades souhaités dans votre flux de travail. Ces points témoins n’ont aucun rapport direct avec la conception et la génération des étiquettes. Toutes les étiquettes qui appartiennent à un(e) patient(e) </w:t>
      </w:r>
      <w:r>
        <w:lastRenderedPageBreak/>
        <w:t>sont utilisées pendant le processus de suivi témoin. Les points témoins sont définis par l’ajout de signatures. Le nom de la signature sert à définir tous les types de validation des étapes du processus.</w:t>
      </w:r>
    </w:p>
    <w:p w14:paraId="37CCDD19" w14:textId="77777777" w:rsidR="00146E18" w:rsidRPr="00306AFF" w:rsidRDefault="00146E18">
      <w:pPr>
        <w:spacing w:after="0"/>
        <w:rPr>
          <w:lang w:val="en-GB"/>
        </w:rPr>
      </w:pPr>
    </w:p>
    <w:p w14:paraId="494AD7F5" w14:textId="77C72BA9" w:rsidR="00146E18" w:rsidRPr="00306AFF" w:rsidRDefault="008F45CE" w:rsidP="00114A8E">
      <w:r>
        <w:t>Dans le menu « Settings » (Paramètres), cliquez sur « </w:t>
      </w:r>
      <w:proofErr w:type="spellStart"/>
      <w:r>
        <w:t>Witness</w:t>
      </w:r>
      <w:proofErr w:type="spellEnd"/>
      <w:r>
        <w:t xml:space="preserve"> points » (Points témoins). Cela vous donnera un aperçu de vos points témoins (fig. 6). Sur cette page, vous pouvez modifier les points témoins existants ou en définir de nouveaux. Cliquez sur une colonne dans la liste des points témoins pour l’ouvrir. Autrement, cliquez sur le bouton « +new » (</w:t>
      </w:r>
      <w:r w:rsidR="00CC621D">
        <w:t>+n</w:t>
      </w:r>
      <w:r>
        <w:t>ouveau) pour en créer une nouvelle.</w:t>
      </w:r>
    </w:p>
    <w:p w14:paraId="12DFA9EF" w14:textId="269BFB67" w:rsidR="00146E18" w:rsidRPr="00306AFF" w:rsidRDefault="008F45CE">
      <w:pPr>
        <w:pBdr>
          <w:top w:val="nil"/>
          <w:left w:val="nil"/>
          <w:bottom w:val="nil"/>
          <w:right w:val="nil"/>
          <w:between w:val="nil"/>
        </w:pBdr>
      </w:pPr>
      <w:r>
        <w:rPr>
          <w:noProof/>
        </w:rPr>
        <w:drawing>
          <wp:inline distT="114300" distB="114300" distL="114300" distR="114300" wp14:anchorId="25DEE9F3" wp14:editId="73C1CB24">
            <wp:extent cx="5759140" cy="2857500"/>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759140" cy="2857500"/>
                    </a:xfrm>
                    <a:prstGeom prst="rect">
                      <a:avLst/>
                    </a:prstGeom>
                    <a:ln/>
                  </pic:spPr>
                </pic:pic>
              </a:graphicData>
            </a:graphic>
          </wp:inline>
        </w:drawing>
      </w:r>
      <w:r>
        <w:rPr>
          <w:color w:val="666666"/>
          <w:sz w:val="18"/>
        </w:rPr>
        <w:t>Figure 6 : Vue d’ensemble des points témoins</w:t>
      </w:r>
    </w:p>
    <w:p w14:paraId="298703D4" w14:textId="4B27F990" w:rsidR="00146E18" w:rsidRPr="00306AFF" w:rsidRDefault="008F45CE">
      <w:r>
        <w:t>Dès qu’un point témoin est ouvert ou créé, un nouvel écran s’affiche (fig. 7). Vous pouvez y modifier les paramètres de la définition de la signature. L’écran comprend une rubrique : « </w:t>
      </w:r>
      <w:proofErr w:type="spellStart"/>
      <w:r>
        <w:t>define</w:t>
      </w:r>
      <w:proofErr w:type="spellEnd"/>
      <w:r>
        <w:t xml:space="preserve"> signature » (définir la signature).</w:t>
      </w:r>
    </w:p>
    <w:p w14:paraId="3BAA92DD" w14:textId="77777777" w:rsidR="00146E18" w:rsidRPr="00306AFF" w:rsidRDefault="008F45CE">
      <w:r>
        <w:rPr>
          <w:noProof/>
        </w:rPr>
        <w:drawing>
          <wp:inline distT="114300" distB="114300" distL="114300" distR="114300" wp14:anchorId="6C9B294C" wp14:editId="178C4751">
            <wp:extent cx="5759140" cy="2679700"/>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5759140" cy="2679700"/>
                    </a:xfrm>
                    <a:prstGeom prst="rect">
                      <a:avLst/>
                    </a:prstGeom>
                    <a:ln/>
                  </pic:spPr>
                </pic:pic>
              </a:graphicData>
            </a:graphic>
          </wp:inline>
        </w:drawing>
      </w:r>
      <w:r>
        <w:rPr>
          <w:color w:val="666666"/>
          <w:sz w:val="18"/>
        </w:rPr>
        <w:t>Figure 7 : Définir la signature</w:t>
      </w:r>
    </w:p>
    <w:p w14:paraId="19D100A1" w14:textId="737C3BD5" w:rsidR="00146E18" w:rsidRPr="00306AFF" w:rsidRDefault="008F45CE">
      <w:r>
        <w:lastRenderedPageBreak/>
        <w:t>Sur l’écran de définition de la signature, vous saisissez le nom, le type, les dépendances et toutes les autres caractéristiques du point témoin. Au moment de définir un point témoin, vous pouvez utiliser les éléments répertoriés dans le tableau 1. Dès que vous avez terminé, cliquez sur le bouton « </w:t>
      </w:r>
      <w:proofErr w:type="spellStart"/>
      <w:r w:rsidR="003765E3">
        <w:t>save</w:t>
      </w:r>
      <w:proofErr w:type="spellEnd"/>
      <w:r w:rsidR="003765E3">
        <w:t> </w:t>
      </w:r>
      <w:r>
        <w:t>» (</w:t>
      </w:r>
      <w:r w:rsidR="003765E3">
        <w:t>sauvegarder</w:t>
      </w:r>
      <w:r>
        <w:t>) pour enregistrer votre travail.</w:t>
      </w:r>
    </w:p>
    <w:p w14:paraId="0211D9E3" w14:textId="77777777" w:rsidR="00146E18" w:rsidRPr="00306AFF" w:rsidRDefault="00146E18">
      <w:pPr>
        <w:rPr>
          <w:lang w:val="en-GB"/>
        </w:rPr>
      </w:pPr>
    </w:p>
    <w:tbl>
      <w:tblPr>
        <w:tblStyle w:val="a"/>
        <w:tblW w:w="90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70"/>
        <w:gridCol w:w="5790"/>
      </w:tblGrid>
      <w:tr w:rsidR="00146E18" w:rsidRPr="00306AFF" w14:paraId="1F55022D" w14:textId="77777777" w:rsidTr="00D85A64">
        <w:trPr>
          <w:cantSplit/>
          <w:trHeight w:val="400"/>
          <w:tblHeader/>
        </w:trPr>
        <w:tc>
          <w:tcPr>
            <w:tcW w:w="9060" w:type="dxa"/>
            <w:gridSpan w:val="2"/>
            <w:shd w:val="clear" w:color="auto" w:fill="C9DAF8"/>
            <w:tcMar>
              <w:top w:w="100" w:type="dxa"/>
              <w:left w:w="100" w:type="dxa"/>
              <w:bottom w:w="100" w:type="dxa"/>
              <w:right w:w="100" w:type="dxa"/>
            </w:tcMar>
          </w:tcPr>
          <w:p w14:paraId="01E09231" w14:textId="77777777" w:rsidR="00146E18" w:rsidRPr="00306AFF" w:rsidRDefault="008F45CE" w:rsidP="00D85A64">
            <w:pPr>
              <w:keepNext/>
              <w:widowControl w:val="0"/>
              <w:pBdr>
                <w:top w:val="nil"/>
                <w:left w:val="nil"/>
                <w:bottom w:val="nil"/>
                <w:right w:val="nil"/>
                <w:between w:val="nil"/>
              </w:pBdr>
              <w:spacing w:after="0"/>
              <w:rPr>
                <w:b/>
              </w:rPr>
            </w:pPr>
            <w:r>
              <w:rPr>
                <w:b/>
              </w:rPr>
              <w:t>Définition des points témoins</w:t>
            </w:r>
          </w:p>
        </w:tc>
      </w:tr>
      <w:tr w:rsidR="00146E18" w:rsidRPr="00306AFF" w14:paraId="3783461F" w14:textId="77777777" w:rsidTr="00D85A64">
        <w:trPr>
          <w:cantSplit/>
        </w:trPr>
        <w:tc>
          <w:tcPr>
            <w:tcW w:w="3270" w:type="dxa"/>
            <w:shd w:val="clear" w:color="auto" w:fill="auto"/>
            <w:tcMar>
              <w:top w:w="100" w:type="dxa"/>
              <w:left w:w="100" w:type="dxa"/>
              <w:bottom w:w="100" w:type="dxa"/>
              <w:right w:w="100" w:type="dxa"/>
            </w:tcMar>
          </w:tcPr>
          <w:p w14:paraId="1B412E72" w14:textId="77777777" w:rsidR="00146E18" w:rsidRPr="00306AFF" w:rsidRDefault="008F45CE" w:rsidP="00D85A64">
            <w:pPr>
              <w:keepNext/>
              <w:widowControl w:val="0"/>
              <w:pBdr>
                <w:top w:val="nil"/>
                <w:left w:val="nil"/>
                <w:bottom w:val="nil"/>
                <w:right w:val="nil"/>
                <w:between w:val="nil"/>
              </w:pBdr>
              <w:spacing w:after="0"/>
            </w:pPr>
            <w:r>
              <w:t xml:space="preserve">« Signature </w:t>
            </w:r>
            <w:proofErr w:type="spellStart"/>
            <w:r>
              <w:t>name</w:t>
            </w:r>
            <w:proofErr w:type="spellEnd"/>
            <w:r>
              <w:t> » (Nom de la signature)</w:t>
            </w:r>
          </w:p>
        </w:tc>
        <w:tc>
          <w:tcPr>
            <w:tcW w:w="5790" w:type="dxa"/>
            <w:shd w:val="clear" w:color="auto" w:fill="auto"/>
            <w:tcMar>
              <w:top w:w="100" w:type="dxa"/>
              <w:left w:w="100" w:type="dxa"/>
              <w:bottom w:w="100" w:type="dxa"/>
              <w:right w:w="100" w:type="dxa"/>
            </w:tcMar>
          </w:tcPr>
          <w:p w14:paraId="2E9F7CCB" w14:textId="77777777" w:rsidR="00146E18" w:rsidRPr="00306AFF" w:rsidRDefault="008F45CE" w:rsidP="00D85A64">
            <w:pPr>
              <w:keepNext/>
              <w:widowControl w:val="0"/>
              <w:pBdr>
                <w:top w:val="nil"/>
                <w:left w:val="nil"/>
                <w:bottom w:val="nil"/>
                <w:right w:val="nil"/>
                <w:between w:val="nil"/>
              </w:pBdr>
              <w:spacing w:after="0"/>
            </w:pPr>
            <w:r>
              <w:t>Nom tel qu’il s’affiche dans l’appli eWitness.</w:t>
            </w:r>
          </w:p>
        </w:tc>
      </w:tr>
      <w:tr w:rsidR="00146E18" w:rsidRPr="00306AFF" w14:paraId="51811481" w14:textId="77777777" w:rsidTr="00D85A64">
        <w:trPr>
          <w:cantSplit/>
        </w:trPr>
        <w:tc>
          <w:tcPr>
            <w:tcW w:w="3270" w:type="dxa"/>
            <w:shd w:val="clear" w:color="auto" w:fill="auto"/>
            <w:tcMar>
              <w:top w:w="100" w:type="dxa"/>
              <w:left w:w="100" w:type="dxa"/>
              <w:bottom w:w="100" w:type="dxa"/>
              <w:right w:w="100" w:type="dxa"/>
            </w:tcMar>
          </w:tcPr>
          <w:p w14:paraId="4225ECF3" w14:textId="77777777" w:rsidR="00146E18" w:rsidRPr="00306AFF" w:rsidRDefault="008F45CE" w:rsidP="00D85A64">
            <w:pPr>
              <w:keepNext/>
              <w:widowControl w:val="0"/>
              <w:pBdr>
                <w:top w:val="nil"/>
                <w:left w:val="nil"/>
                <w:bottom w:val="nil"/>
                <w:right w:val="nil"/>
                <w:between w:val="nil"/>
              </w:pBdr>
              <w:spacing w:after="0"/>
            </w:pPr>
            <w:r>
              <w:t>« Type »</w:t>
            </w:r>
          </w:p>
        </w:tc>
        <w:tc>
          <w:tcPr>
            <w:tcW w:w="5790" w:type="dxa"/>
            <w:shd w:val="clear" w:color="auto" w:fill="auto"/>
            <w:tcMar>
              <w:top w:w="100" w:type="dxa"/>
              <w:left w:w="100" w:type="dxa"/>
              <w:bottom w:w="100" w:type="dxa"/>
              <w:right w:w="100" w:type="dxa"/>
            </w:tcMar>
          </w:tcPr>
          <w:p w14:paraId="44001060" w14:textId="166C04D8" w:rsidR="00146E18" w:rsidRPr="00306AFF" w:rsidRDefault="008F45CE" w:rsidP="00D85A64">
            <w:pPr>
              <w:keepNext/>
              <w:spacing w:after="0"/>
            </w:pPr>
            <w:r w:rsidRPr="000F3756">
              <w:rPr>
                <w:spacing w:val="-2"/>
              </w:rPr>
              <w:t>Aux fins d’affichage et d’utilisation dans l’appli eWitness, utilisez</w:t>
            </w:r>
            <w:r>
              <w:t xml:space="preserve"> « </w:t>
            </w:r>
            <w:proofErr w:type="spellStart"/>
            <w:r>
              <w:t>barcode</w:t>
            </w:r>
            <w:proofErr w:type="spellEnd"/>
            <w:r>
              <w:t> » (code-barres) comme type. Le type « patient » peut être utilisé dans l’application de back-office afin de permettre à un(e) patient(e) de saisir une signature à la main.</w:t>
            </w:r>
          </w:p>
        </w:tc>
      </w:tr>
      <w:tr w:rsidR="00146E18" w:rsidRPr="00306AFF" w14:paraId="25770844" w14:textId="77777777" w:rsidTr="00D85A64">
        <w:trPr>
          <w:cantSplit/>
        </w:trPr>
        <w:tc>
          <w:tcPr>
            <w:tcW w:w="3270" w:type="dxa"/>
            <w:shd w:val="clear" w:color="auto" w:fill="auto"/>
            <w:tcMar>
              <w:top w:w="100" w:type="dxa"/>
              <w:left w:w="100" w:type="dxa"/>
              <w:bottom w:w="100" w:type="dxa"/>
              <w:right w:w="100" w:type="dxa"/>
            </w:tcMar>
          </w:tcPr>
          <w:p w14:paraId="5FFC8CB3" w14:textId="77777777" w:rsidR="00146E18" w:rsidRPr="00306AFF" w:rsidRDefault="008F45CE">
            <w:pPr>
              <w:widowControl w:val="0"/>
              <w:pBdr>
                <w:top w:val="nil"/>
                <w:left w:val="nil"/>
                <w:bottom w:val="nil"/>
                <w:right w:val="nil"/>
                <w:between w:val="nil"/>
              </w:pBdr>
              <w:spacing w:after="0"/>
            </w:pPr>
            <w:r>
              <w:t>« Widget »</w:t>
            </w:r>
          </w:p>
        </w:tc>
        <w:tc>
          <w:tcPr>
            <w:tcW w:w="5790" w:type="dxa"/>
            <w:shd w:val="clear" w:color="auto" w:fill="auto"/>
            <w:tcMar>
              <w:top w:w="100" w:type="dxa"/>
              <w:left w:w="100" w:type="dxa"/>
              <w:bottom w:w="100" w:type="dxa"/>
              <w:right w:w="100" w:type="dxa"/>
            </w:tcMar>
          </w:tcPr>
          <w:p w14:paraId="76AEA82F" w14:textId="46AFC8AF" w:rsidR="00146E18" w:rsidRPr="00306AFF" w:rsidRDefault="008F45CE">
            <w:pPr>
              <w:spacing w:after="0"/>
            </w:pPr>
            <w:r>
              <w:t>Sélectionnez le widget pour lequel vous voulez définir le point témoin.</w:t>
            </w:r>
          </w:p>
        </w:tc>
      </w:tr>
      <w:tr w:rsidR="00146E18" w:rsidRPr="00306AFF" w14:paraId="6B43062E" w14:textId="77777777" w:rsidTr="00D85A64">
        <w:trPr>
          <w:cantSplit/>
        </w:trPr>
        <w:tc>
          <w:tcPr>
            <w:tcW w:w="3270" w:type="dxa"/>
            <w:shd w:val="clear" w:color="auto" w:fill="auto"/>
            <w:tcMar>
              <w:top w:w="100" w:type="dxa"/>
              <w:left w:w="100" w:type="dxa"/>
              <w:bottom w:w="100" w:type="dxa"/>
              <w:right w:w="100" w:type="dxa"/>
            </w:tcMar>
          </w:tcPr>
          <w:p w14:paraId="6284CF79" w14:textId="77777777" w:rsidR="00146E18" w:rsidRPr="00306AFF" w:rsidRDefault="008F45CE">
            <w:pPr>
              <w:widowControl w:val="0"/>
              <w:pBdr>
                <w:top w:val="nil"/>
                <w:left w:val="nil"/>
                <w:bottom w:val="nil"/>
                <w:right w:val="nil"/>
                <w:between w:val="nil"/>
              </w:pBdr>
              <w:spacing w:after="0"/>
            </w:pPr>
            <w:r>
              <w:t xml:space="preserve">« Limit to </w:t>
            </w:r>
            <w:proofErr w:type="spellStart"/>
            <w:r>
              <w:t>treatments</w:t>
            </w:r>
            <w:proofErr w:type="spellEnd"/>
            <w:r>
              <w:t> » (Limiter aux traitements)</w:t>
            </w:r>
          </w:p>
        </w:tc>
        <w:tc>
          <w:tcPr>
            <w:tcW w:w="5790" w:type="dxa"/>
            <w:shd w:val="clear" w:color="auto" w:fill="auto"/>
            <w:tcMar>
              <w:top w:w="100" w:type="dxa"/>
              <w:left w:w="100" w:type="dxa"/>
              <w:bottom w:w="100" w:type="dxa"/>
              <w:right w:w="100" w:type="dxa"/>
            </w:tcMar>
          </w:tcPr>
          <w:p w14:paraId="1C184CB2" w14:textId="77777777" w:rsidR="00146E18" w:rsidRPr="00306AFF" w:rsidRDefault="008F45CE">
            <w:pPr>
              <w:widowControl w:val="0"/>
              <w:pBdr>
                <w:top w:val="nil"/>
                <w:left w:val="nil"/>
                <w:bottom w:val="nil"/>
                <w:right w:val="nil"/>
                <w:between w:val="nil"/>
              </w:pBdr>
              <w:spacing w:after="0"/>
            </w:pPr>
            <w:r>
              <w:t>Permet de relier le point témoin à un type de traitement. Il est possible de sélectionner plusieurs traitements.</w:t>
            </w:r>
          </w:p>
        </w:tc>
      </w:tr>
      <w:tr w:rsidR="00146E18" w:rsidRPr="00306AFF" w14:paraId="4588D7DF" w14:textId="77777777" w:rsidTr="00D85A64">
        <w:trPr>
          <w:cantSplit/>
        </w:trPr>
        <w:tc>
          <w:tcPr>
            <w:tcW w:w="3270" w:type="dxa"/>
            <w:shd w:val="clear" w:color="auto" w:fill="auto"/>
            <w:tcMar>
              <w:top w:w="100" w:type="dxa"/>
              <w:left w:w="100" w:type="dxa"/>
              <w:bottom w:w="100" w:type="dxa"/>
              <w:right w:w="100" w:type="dxa"/>
            </w:tcMar>
          </w:tcPr>
          <w:p w14:paraId="0550F16D" w14:textId="77777777" w:rsidR="00146E18" w:rsidRPr="00306AFF" w:rsidRDefault="008F45CE">
            <w:pPr>
              <w:widowControl w:val="0"/>
              <w:pBdr>
                <w:top w:val="nil"/>
                <w:left w:val="nil"/>
                <w:bottom w:val="nil"/>
                <w:right w:val="nil"/>
                <w:between w:val="nil"/>
              </w:pBdr>
              <w:spacing w:after="0"/>
            </w:pPr>
            <w:r>
              <w:t>« </w:t>
            </w:r>
            <w:proofErr w:type="spellStart"/>
            <w:r>
              <w:t>Depends</w:t>
            </w:r>
            <w:proofErr w:type="spellEnd"/>
            <w:r>
              <w:t xml:space="preserve"> on » (Dépendance)</w:t>
            </w:r>
          </w:p>
        </w:tc>
        <w:tc>
          <w:tcPr>
            <w:tcW w:w="5790" w:type="dxa"/>
            <w:shd w:val="clear" w:color="auto" w:fill="auto"/>
            <w:tcMar>
              <w:top w:w="100" w:type="dxa"/>
              <w:left w:w="100" w:type="dxa"/>
              <w:bottom w:w="100" w:type="dxa"/>
              <w:right w:w="100" w:type="dxa"/>
            </w:tcMar>
          </w:tcPr>
          <w:p w14:paraId="0D4A867E" w14:textId="349423E8" w:rsidR="00146E18" w:rsidRPr="00306AFF" w:rsidRDefault="008F45CE">
            <w:pPr>
              <w:widowControl w:val="0"/>
              <w:pBdr>
                <w:top w:val="nil"/>
                <w:left w:val="nil"/>
                <w:bottom w:val="nil"/>
                <w:right w:val="nil"/>
                <w:between w:val="nil"/>
              </w:pBdr>
              <w:spacing w:after="0"/>
            </w:pPr>
            <w:r>
              <w:t>Cela sert à relier les points témoins entre eux. Un point témoin ne sera pas disponible tant que le point témoin dont il dépend n’aura pas été validé (scanné). La liste « </w:t>
            </w:r>
            <w:proofErr w:type="spellStart"/>
            <w:r>
              <w:t>depends</w:t>
            </w:r>
            <w:proofErr w:type="spellEnd"/>
            <w:r>
              <w:t xml:space="preserve"> on » (dépendance) est une liste répertoriant les signatures déjà définies.</w:t>
            </w:r>
          </w:p>
          <w:p w14:paraId="7F164378" w14:textId="77777777" w:rsidR="00146E18" w:rsidRPr="00306AFF" w:rsidRDefault="00146E18">
            <w:pPr>
              <w:widowControl w:val="0"/>
              <w:pBdr>
                <w:top w:val="nil"/>
                <w:left w:val="nil"/>
                <w:bottom w:val="nil"/>
                <w:right w:val="nil"/>
                <w:between w:val="nil"/>
              </w:pBdr>
              <w:spacing w:after="0"/>
              <w:rPr>
                <w:lang w:val="en-GB"/>
              </w:rPr>
            </w:pPr>
          </w:p>
          <w:p w14:paraId="14275F89" w14:textId="2693EBF6" w:rsidR="00146E18" w:rsidRPr="00306AFF" w:rsidRDefault="008F45CE">
            <w:pPr>
              <w:widowControl w:val="0"/>
              <w:pBdr>
                <w:top w:val="nil"/>
                <w:left w:val="nil"/>
                <w:bottom w:val="nil"/>
                <w:right w:val="nil"/>
                <w:between w:val="nil"/>
              </w:pBdr>
              <w:spacing w:after="0"/>
            </w:pPr>
            <w:r>
              <w:t>Au moment de paramétrer les dépendances, une bonne pratique consiste à commencer par définir l’ensemble des points témoins/étapes du processus. Toutes les nouvelles signatures seront uniquement visibles après une nouvelle connexion. Ainsi, il sera plus facile de paramétrer les dépendances.</w:t>
            </w:r>
          </w:p>
        </w:tc>
      </w:tr>
      <w:tr w:rsidR="00146E18" w:rsidRPr="00306AFF" w14:paraId="0B5007C8" w14:textId="77777777" w:rsidTr="00D85A64">
        <w:trPr>
          <w:cantSplit/>
        </w:trPr>
        <w:tc>
          <w:tcPr>
            <w:tcW w:w="3270" w:type="dxa"/>
            <w:shd w:val="clear" w:color="auto" w:fill="auto"/>
            <w:tcMar>
              <w:top w:w="100" w:type="dxa"/>
              <w:left w:w="100" w:type="dxa"/>
              <w:bottom w:w="100" w:type="dxa"/>
              <w:right w:w="100" w:type="dxa"/>
            </w:tcMar>
          </w:tcPr>
          <w:p w14:paraId="2DCE5C55" w14:textId="77777777" w:rsidR="00146E18" w:rsidRPr="00306AFF" w:rsidRDefault="008F45CE">
            <w:pPr>
              <w:widowControl w:val="0"/>
              <w:pBdr>
                <w:top w:val="nil"/>
                <w:left w:val="nil"/>
                <w:bottom w:val="nil"/>
                <w:right w:val="nil"/>
                <w:between w:val="nil"/>
              </w:pBdr>
              <w:spacing w:after="0"/>
            </w:pPr>
            <w:r>
              <w:t xml:space="preserve">« Type of </w:t>
            </w:r>
            <w:proofErr w:type="spellStart"/>
            <w:r>
              <w:t>dependency</w:t>
            </w:r>
            <w:proofErr w:type="spellEnd"/>
            <w:r>
              <w:t> » (Type de dépendance)</w:t>
            </w:r>
          </w:p>
        </w:tc>
        <w:tc>
          <w:tcPr>
            <w:tcW w:w="5790" w:type="dxa"/>
            <w:shd w:val="clear" w:color="auto" w:fill="auto"/>
            <w:tcMar>
              <w:top w:w="100" w:type="dxa"/>
              <w:left w:w="100" w:type="dxa"/>
              <w:bottom w:w="100" w:type="dxa"/>
              <w:right w:w="100" w:type="dxa"/>
            </w:tcMar>
          </w:tcPr>
          <w:p w14:paraId="60B8E5F2" w14:textId="0DFC5587" w:rsidR="00146E18" w:rsidRPr="00306AFF" w:rsidRDefault="008F45CE">
            <w:pPr>
              <w:widowControl w:val="0"/>
              <w:pBdr>
                <w:top w:val="nil"/>
                <w:left w:val="nil"/>
                <w:bottom w:val="nil"/>
                <w:right w:val="nil"/>
                <w:between w:val="nil"/>
              </w:pBdr>
              <w:spacing w:after="0"/>
            </w:pPr>
            <w:r>
              <w:t>Il existe trois types de dépendance. Chaque type aura un effet différent sur le processus de suivi témoin.</w:t>
            </w:r>
          </w:p>
          <w:p w14:paraId="305A502E" w14:textId="77777777" w:rsidR="00146E18" w:rsidRPr="00306AFF" w:rsidRDefault="00146E18">
            <w:pPr>
              <w:widowControl w:val="0"/>
              <w:pBdr>
                <w:top w:val="nil"/>
                <w:left w:val="nil"/>
                <w:bottom w:val="nil"/>
                <w:right w:val="nil"/>
                <w:between w:val="nil"/>
              </w:pBdr>
              <w:spacing w:after="0"/>
              <w:rPr>
                <w:lang w:val="en-GB"/>
              </w:rPr>
            </w:pPr>
          </w:p>
          <w:p w14:paraId="13C2B155" w14:textId="23A4137D" w:rsidR="00146E18" w:rsidRPr="00306AFF" w:rsidRDefault="008F45CE">
            <w:pPr>
              <w:widowControl w:val="0"/>
              <w:pBdr>
                <w:top w:val="nil"/>
                <w:left w:val="nil"/>
                <w:bottom w:val="nil"/>
                <w:right w:val="nil"/>
                <w:between w:val="nil"/>
              </w:pBdr>
              <w:spacing w:after="0"/>
            </w:pPr>
            <w:r>
              <w:t>Le premier, par défaut, est le type « standard ».</w:t>
            </w:r>
          </w:p>
          <w:p w14:paraId="2F19BB55" w14:textId="1886B577" w:rsidR="00146E18" w:rsidRPr="00306AFF" w:rsidRDefault="008F45CE">
            <w:pPr>
              <w:widowControl w:val="0"/>
              <w:pBdr>
                <w:top w:val="nil"/>
                <w:left w:val="nil"/>
                <w:bottom w:val="nil"/>
                <w:right w:val="nil"/>
                <w:between w:val="nil"/>
              </w:pBdr>
              <w:spacing w:after="0"/>
            </w:pPr>
            <w:r>
              <w:t>Un point témoin ne sera disponible qu’après avoir terminé le point témoin parent. Ce principe s’applique à tous les types, mais pour celui-ci, c’est la seule condition.</w:t>
            </w:r>
          </w:p>
          <w:p w14:paraId="0934813A" w14:textId="77777777" w:rsidR="00146E18" w:rsidRPr="00306AFF" w:rsidRDefault="00146E18">
            <w:pPr>
              <w:widowControl w:val="0"/>
              <w:pBdr>
                <w:top w:val="nil"/>
                <w:left w:val="nil"/>
                <w:bottom w:val="nil"/>
                <w:right w:val="nil"/>
                <w:between w:val="nil"/>
              </w:pBdr>
              <w:spacing w:after="0"/>
              <w:rPr>
                <w:lang w:val="en-GB"/>
              </w:rPr>
            </w:pPr>
          </w:p>
          <w:p w14:paraId="3E4E3D47" w14:textId="2FA29369" w:rsidR="00146E18" w:rsidRPr="00306AFF" w:rsidRDefault="008F45CE">
            <w:pPr>
              <w:widowControl w:val="0"/>
              <w:pBdr>
                <w:top w:val="nil"/>
                <w:left w:val="nil"/>
                <w:bottom w:val="nil"/>
                <w:right w:val="nil"/>
                <w:between w:val="nil"/>
              </w:pBdr>
              <w:spacing w:after="0"/>
            </w:pPr>
            <w:r w:rsidRPr="00E55B7A">
              <w:rPr>
                <w:spacing w:val="-2"/>
              </w:rPr>
              <w:t>Le deuxième type s’intitule « </w:t>
            </w:r>
            <w:proofErr w:type="spellStart"/>
            <w:r w:rsidRPr="00E55B7A">
              <w:rPr>
                <w:spacing w:val="-2"/>
              </w:rPr>
              <w:t>equal</w:t>
            </w:r>
            <w:proofErr w:type="spellEnd"/>
            <w:r w:rsidRPr="00E55B7A">
              <w:rPr>
                <w:spacing w:val="-2"/>
              </w:rPr>
              <w:t xml:space="preserve"> </w:t>
            </w:r>
            <w:proofErr w:type="spellStart"/>
            <w:r w:rsidRPr="00E55B7A">
              <w:rPr>
                <w:spacing w:val="-2"/>
              </w:rPr>
              <w:t>numbers</w:t>
            </w:r>
            <w:proofErr w:type="spellEnd"/>
            <w:r w:rsidRPr="00E55B7A">
              <w:rPr>
                <w:spacing w:val="-2"/>
              </w:rPr>
              <w:t> » (nombres égaux).</w:t>
            </w:r>
            <w:r>
              <w:t xml:space="preserve"> Cela permet une comparaison avec le nombre de scans réalisés au cours du point témoin précédent pour s’assurer qu’il y a le même nombre de scans. Tout écart déclenchera l’envoi d’un message à propos de cette différence.</w:t>
            </w:r>
          </w:p>
          <w:p w14:paraId="5A9190E7" w14:textId="77777777" w:rsidR="00146E18" w:rsidRPr="00306AFF" w:rsidRDefault="00146E18">
            <w:pPr>
              <w:widowControl w:val="0"/>
              <w:pBdr>
                <w:top w:val="nil"/>
                <w:left w:val="nil"/>
                <w:bottom w:val="nil"/>
                <w:right w:val="nil"/>
                <w:between w:val="nil"/>
              </w:pBdr>
              <w:spacing w:after="0"/>
              <w:rPr>
                <w:lang w:val="en-GB"/>
              </w:rPr>
            </w:pPr>
          </w:p>
          <w:p w14:paraId="1D70CC08" w14:textId="0AFDDFEA" w:rsidR="00146E18" w:rsidRPr="00306AFF" w:rsidRDefault="008F45CE">
            <w:pPr>
              <w:widowControl w:val="0"/>
              <w:pBdr>
                <w:top w:val="nil"/>
                <w:left w:val="nil"/>
                <w:bottom w:val="nil"/>
                <w:right w:val="nil"/>
                <w:between w:val="nil"/>
              </w:pBdr>
              <w:spacing w:after="0"/>
            </w:pPr>
            <w:r>
              <w:t>Le troisième type s’appelle « exact match » (correspondance parfaite). Cela permet d’exécuter la même action qu’avec le deuxième type, mais en plus de cela, il faut obtenir le même nombre d’étiquettes uniques que lors du scan précédent.</w:t>
            </w:r>
          </w:p>
        </w:tc>
      </w:tr>
      <w:tr w:rsidR="00146E18" w:rsidRPr="00306AFF" w14:paraId="758CF2FE" w14:textId="77777777" w:rsidTr="00D85A64">
        <w:trPr>
          <w:cantSplit/>
        </w:trPr>
        <w:tc>
          <w:tcPr>
            <w:tcW w:w="3270" w:type="dxa"/>
            <w:shd w:val="clear" w:color="auto" w:fill="auto"/>
            <w:tcMar>
              <w:top w:w="100" w:type="dxa"/>
              <w:left w:w="100" w:type="dxa"/>
              <w:bottom w:w="100" w:type="dxa"/>
              <w:right w:w="100" w:type="dxa"/>
            </w:tcMar>
          </w:tcPr>
          <w:p w14:paraId="184731F7" w14:textId="250C5AA5" w:rsidR="00146E18" w:rsidRPr="00306AFF" w:rsidRDefault="008F45CE">
            <w:pPr>
              <w:widowControl w:val="0"/>
              <w:pBdr>
                <w:top w:val="nil"/>
                <w:left w:val="nil"/>
                <w:bottom w:val="nil"/>
                <w:right w:val="nil"/>
                <w:between w:val="nil"/>
              </w:pBdr>
              <w:spacing w:after="0"/>
            </w:pPr>
            <w:r>
              <w:lastRenderedPageBreak/>
              <w:t>« </w:t>
            </w:r>
            <w:proofErr w:type="spellStart"/>
            <w:r>
              <w:t>Fixed</w:t>
            </w:r>
            <w:proofErr w:type="spellEnd"/>
            <w:r>
              <w:t xml:space="preserve"> </w:t>
            </w:r>
            <w:proofErr w:type="spellStart"/>
            <w:r>
              <w:t>quantity</w:t>
            </w:r>
            <w:proofErr w:type="spellEnd"/>
            <w:r>
              <w:t> » (</w:t>
            </w:r>
            <w:r w:rsidR="00B315A2">
              <w:t xml:space="preserve">Quantité </w:t>
            </w:r>
            <w:r>
              <w:t>fixe)</w:t>
            </w:r>
          </w:p>
        </w:tc>
        <w:tc>
          <w:tcPr>
            <w:tcW w:w="5790" w:type="dxa"/>
            <w:shd w:val="clear" w:color="auto" w:fill="auto"/>
            <w:tcMar>
              <w:top w:w="100" w:type="dxa"/>
              <w:left w:w="100" w:type="dxa"/>
              <w:bottom w:w="100" w:type="dxa"/>
              <w:right w:w="100" w:type="dxa"/>
            </w:tcMar>
          </w:tcPr>
          <w:p w14:paraId="7E548DF2" w14:textId="45BC2DC3" w:rsidR="00146E18" w:rsidRPr="00306AFF" w:rsidRDefault="008F45CE">
            <w:pPr>
              <w:widowControl w:val="0"/>
              <w:spacing w:after="0"/>
            </w:pPr>
            <w:r>
              <w:t>Au moment de saisir un nombre entier dans ce champ, celui-ci doit représenter le nombre d’étiquettes à soumettre au suivi témoin sous la forme d’un nombre fixe. Par défaut (vide), le nombre de scans n’est pas prédéfini. Si vous paramétrez un nombre ici, le processus de suivi témoin prendra fin une fois le nombre atteint. Un avertissement s’affichera si le nombre de scans ne correspond pas.</w:t>
            </w:r>
          </w:p>
          <w:p w14:paraId="0CD6661E" w14:textId="77777777" w:rsidR="00146E18" w:rsidRPr="00306AFF" w:rsidRDefault="00146E18">
            <w:pPr>
              <w:widowControl w:val="0"/>
              <w:spacing w:after="0"/>
              <w:rPr>
                <w:lang w:val="en-GB"/>
              </w:rPr>
            </w:pPr>
          </w:p>
          <w:p w14:paraId="18184147" w14:textId="4F867961" w:rsidR="00146E18" w:rsidRPr="00306AFF" w:rsidRDefault="008F45CE">
            <w:pPr>
              <w:widowControl w:val="0"/>
              <w:pBdr>
                <w:top w:val="nil"/>
                <w:left w:val="nil"/>
                <w:bottom w:val="nil"/>
                <w:right w:val="nil"/>
                <w:between w:val="nil"/>
              </w:pBdr>
              <w:spacing w:after="0"/>
            </w:pPr>
            <w:r>
              <w:t>Par exemple, au lieu d’afficher « 1 sur N », l’écran indiquera « 1 sur 3 ». Au bout de trois scans, le processus de suivi témoin sera considéré comme étant terminé.</w:t>
            </w:r>
          </w:p>
        </w:tc>
      </w:tr>
      <w:tr w:rsidR="00146E18" w:rsidRPr="00306AFF" w14:paraId="19947560" w14:textId="77777777" w:rsidTr="00D85A64">
        <w:trPr>
          <w:cantSplit/>
        </w:trPr>
        <w:tc>
          <w:tcPr>
            <w:tcW w:w="3270" w:type="dxa"/>
            <w:shd w:val="clear" w:color="auto" w:fill="auto"/>
            <w:tcMar>
              <w:top w:w="100" w:type="dxa"/>
              <w:left w:w="100" w:type="dxa"/>
              <w:bottom w:w="100" w:type="dxa"/>
              <w:right w:w="100" w:type="dxa"/>
            </w:tcMar>
          </w:tcPr>
          <w:p w14:paraId="3B52EEF0" w14:textId="77777777" w:rsidR="00146E18" w:rsidRPr="00306AFF" w:rsidRDefault="008F45CE">
            <w:pPr>
              <w:widowControl w:val="0"/>
              <w:pBdr>
                <w:top w:val="nil"/>
                <w:left w:val="nil"/>
                <w:bottom w:val="nil"/>
                <w:right w:val="nil"/>
                <w:between w:val="nil"/>
              </w:pBdr>
              <w:spacing w:after="0"/>
            </w:pPr>
            <w:r>
              <w:t xml:space="preserve">« Show on </w:t>
            </w:r>
            <w:proofErr w:type="spellStart"/>
            <w:r>
              <w:t>punction</w:t>
            </w:r>
            <w:proofErr w:type="spellEnd"/>
            <w:r>
              <w:t xml:space="preserve"> </w:t>
            </w:r>
            <w:proofErr w:type="spellStart"/>
            <w:r>
              <w:t>day</w:t>
            </w:r>
            <w:proofErr w:type="spellEnd"/>
            <w:r>
              <w:t> » (À afficher le jour de ponction)</w:t>
            </w:r>
          </w:p>
        </w:tc>
        <w:tc>
          <w:tcPr>
            <w:tcW w:w="5790" w:type="dxa"/>
            <w:shd w:val="clear" w:color="auto" w:fill="auto"/>
            <w:tcMar>
              <w:top w:w="100" w:type="dxa"/>
              <w:left w:w="100" w:type="dxa"/>
              <w:bottom w:w="100" w:type="dxa"/>
              <w:right w:w="100" w:type="dxa"/>
            </w:tcMar>
          </w:tcPr>
          <w:p w14:paraId="77A53FFB" w14:textId="77777777" w:rsidR="00146E18" w:rsidRPr="00306AFF" w:rsidRDefault="008F45CE">
            <w:pPr>
              <w:widowControl w:val="0"/>
              <w:spacing w:after="0"/>
            </w:pPr>
            <w:r>
              <w:t>Sélectionnez le jour de ponction au cours duquel le point témoin doit être appliqué.</w:t>
            </w:r>
          </w:p>
        </w:tc>
      </w:tr>
      <w:tr w:rsidR="00146E18" w:rsidRPr="00306AFF" w14:paraId="6B2807E0" w14:textId="77777777" w:rsidTr="00D85A64">
        <w:trPr>
          <w:cantSplit/>
        </w:trPr>
        <w:tc>
          <w:tcPr>
            <w:tcW w:w="3270" w:type="dxa"/>
            <w:shd w:val="clear" w:color="auto" w:fill="auto"/>
            <w:tcMar>
              <w:top w:w="100" w:type="dxa"/>
              <w:left w:w="100" w:type="dxa"/>
              <w:bottom w:w="100" w:type="dxa"/>
              <w:right w:w="100" w:type="dxa"/>
            </w:tcMar>
          </w:tcPr>
          <w:p w14:paraId="6F679AA5" w14:textId="77777777" w:rsidR="00146E18" w:rsidRPr="00306AFF" w:rsidRDefault="008F45CE">
            <w:pPr>
              <w:widowControl w:val="0"/>
              <w:spacing w:after="0"/>
            </w:pPr>
            <w:r>
              <w:t>« Sort » (Tri)</w:t>
            </w:r>
          </w:p>
        </w:tc>
        <w:tc>
          <w:tcPr>
            <w:tcW w:w="5790" w:type="dxa"/>
            <w:shd w:val="clear" w:color="auto" w:fill="auto"/>
            <w:tcMar>
              <w:top w:w="100" w:type="dxa"/>
              <w:left w:w="100" w:type="dxa"/>
              <w:bottom w:w="100" w:type="dxa"/>
              <w:right w:w="100" w:type="dxa"/>
            </w:tcMar>
          </w:tcPr>
          <w:p w14:paraId="74A4A3AD" w14:textId="77777777" w:rsidR="00146E18" w:rsidRPr="00306AFF" w:rsidRDefault="008F45CE">
            <w:pPr>
              <w:widowControl w:val="0"/>
              <w:spacing w:after="0"/>
            </w:pPr>
            <w:r>
              <w:t>L’ordre d’affichage des points témoins. Un ordre de tri est obligatoire afin d’afficher le point témoin.</w:t>
            </w:r>
          </w:p>
        </w:tc>
      </w:tr>
      <w:tr w:rsidR="00146E18" w:rsidRPr="00306AFF" w14:paraId="62A34DEA" w14:textId="77777777" w:rsidTr="00D85A64">
        <w:trPr>
          <w:cantSplit/>
        </w:trPr>
        <w:tc>
          <w:tcPr>
            <w:tcW w:w="3270" w:type="dxa"/>
            <w:shd w:val="clear" w:color="auto" w:fill="auto"/>
            <w:tcMar>
              <w:top w:w="100" w:type="dxa"/>
              <w:left w:w="100" w:type="dxa"/>
              <w:bottom w:w="100" w:type="dxa"/>
              <w:right w:w="100" w:type="dxa"/>
            </w:tcMar>
          </w:tcPr>
          <w:p w14:paraId="79C30918" w14:textId="77777777" w:rsidR="00146E18" w:rsidRPr="00306AFF" w:rsidRDefault="008F45CE">
            <w:pPr>
              <w:widowControl w:val="0"/>
              <w:pBdr>
                <w:top w:val="nil"/>
                <w:left w:val="nil"/>
                <w:bottom w:val="nil"/>
                <w:right w:val="nil"/>
                <w:between w:val="nil"/>
              </w:pBdr>
              <w:spacing w:after="0"/>
            </w:pPr>
            <w:r>
              <w:t>« </w:t>
            </w:r>
            <w:proofErr w:type="spellStart"/>
            <w:r>
              <w:t>Overrule</w:t>
            </w:r>
            <w:proofErr w:type="spellEnd"/>
            <w:r>
              <w:t xml:space="preserve"> all » (Tout annuler)</w:t>
            </w:r>
          </w:p>
        </w:tc>
        <w:tc>
          <w:tcPr>
            <w:tcW w:w="5790" w:type="dxa"/>
            <w:shd w:val="clear" w:color="auto" w:fill="auto"/>
            <w:tcMar>
              <w:top w:w="100" w:type="dxa"/>
              <w:left w:w="100" w:type="dxa"/>
              <w:bottom w:w="100" w:type="dxa"/>
              <w:right w:w="100" w:type="dxa"/>
            </w:tcMar>
          </w:tcPr>
          <w:p w14:paraId="4A40CD23" w14:textId="6FC2C7D9" w:rsidR="00146E18" w:rsidRPr="00306AFF" w:rsidRDefault="008F45CE">
            <w:pPr>
              <w:widowControl w:val="0"/>
              <w:pBdr>
                <w:top w:val="nil"/>
                <w:left w:val="nil"/>
                <w:bottom w:val="nil"/>
                <w:right w:val="nil"/>
                <w:between w:val="nil"/>
              </w:pBdr>
              <w:spacing w:after="0"/>
            </w:pPr>
            <w:r>
              <w:t>Le nombre de points témoins par processus s’affiche dans l’appli eWitness sous la forme d’un nombre. Quand toutes les étapes ont été soumises au suivi témoin, le nombre est remplacé par une icône en forme d’œil afin de représenter qu’un processus de suivi témoin est terminé.</w:t>
            </w:r>
          </w:p>
          <w:p w14:paraId="330A9574" w14:textId="77777777" w:rsidR="00146E18" w:rsidRPr="00306AFF" w:rsidRDefault="00146E18">
            <w:pPr>
              <w:widowControl w:val="0"/>
              <w:pBdr>
                <w:top w:val="nil"/>
                <w:left w:val="nil"/>
                <w:bottom w:val="nil"/>
                <w:right w:val="nil"/>
                <w:between w:val="nil"/>
              </w:pBdr>
              <w:spacing w:after="0"/>
              <w:rPr>
                <w:lang w:val="en-GB"/>
              </w:rPr>
            </w:pPr>
          </w:p>
          <w:p w14:paraId="7BD62DAD" w14:textId="6D173F6E" w:rsidR="00146E18" w:rsidRPr="00306AFF" w:rsidRDefault="008F45CE" w:rsidP="00D85A64">
            <w:pPr>
              <w:widowControl w:val="0"/>
              <w:pBdr>
                <w:top w:val="nil"/>
                <w:left w:val="nil"/>
                <w:bottom w:val="nil"/>
                <w:right w:val="nil"/>
                <w:between w:val="nil"/>
              </w:pBdr>
              <w:spacing w:after="0"/>
            </w:pPr>
            <w:r>
              <w:t>La définition de « terminé » peut être souple dans des situations qui ne comportent pas le nombre exact d’étapes pour chaque cycle. Dans de tels cas, vous pouvez définir un point témoin qui annule tout (« </w:t>
            </w:r>
            <w:proofErr w:type="spellStart"/>
            <w:r>
              <w:t>overrule</w:t>
            </w:r>
            <w:proofErr w:type="spellEnd"/>
            <w:r>
              <w:t xml:space="preserve"> all »). Une fois cette étape achevée, la procédure est considérée comme étant terminée.</w:t>
            </w:r>
          </w:p>
        </w:tc>
      </w:tr>
      <w:tr w:rsidR="00146E18" w:rsidRPr="00306AFF" w14:paraId="051BA726" w14:textId="77777777" w:rsidTr="00D85A64">
        <w:trPr>
          <w:cantSplit/>
        </w:trPr>
        <w:tc>
          <w:tcPr>
            <w:tcW w:w="3270" w:type="dxa"/>
            <w:shd w:val="clear" w:color="auto" w:fill="auto"/>
            <w:tcMar>
              <w:top w:w="100" w:type="dxa"/>
              <w:left w:w="100" w:type="dxa"/>
              <w:bottom w:w="100" w:type="dxa"/>
              <w:right w:w="100" w:type="dxa"/>
            </w:tcMar>
          </w:tcPr>
          <w:p w14:paraId="2DF104D1" w14:textId="77777777" w:rsidR="00146E18" w:rsidRPr="00306AFF" w:rsidRDefault="008F45CE">
            <w:pPr>
              <w:widowControl w:val="0"/>
              <w:pBdr>
                <w:top w:val="nil"/>
                <w:left w:val="nil"/>
                <w:bottom w:val="nil"/>
                <w:right w:val="nil"/>
                <w:between w:val="nil"/>
              </w:pBdr>
              <w:spacing w:after="0"/>
            </w:pPr>
            <w:r>
              <w:t>« End date » (Date de fin)</w:t>
            </w:r>
          </w:p>
        </w:tc>
        <w:tc>
          <w:tcPr>
            <w:tcW w:w="5790" w:type="dxa"/>
            <w:shd w:val="clear" w:color="auto" w:fill="auto"/>
            <w:tcMar>
              <w:top w:w="100" w:type="dxa"/>
              <w:left w:w="100" w:type="dxa"/>
              <w:bottom w:w="100" w:type="dxa"/>
              <w:right w:w="100" w:type="dxa"/>
            </w:tcMar>
          </w:tcPr>
          <w:p w14:paraId="1252949B" w14:textId="77777777" w:rsidR="00146E18" w:rsidRPr="00306AFF" w:rsidRDefault="008F45CE">
            <w:pPr>
              <w:widowControl w:val="0"/>
              <w:pBdr>
                <w:top w:val="nil"/>
                <w:left w:val="nil"/>
                <w:bottom w:val="nil"/>
                <w:right w:val="nil"/>
                <w:between w:val="nil"/>
              </w:pBdr>
              <w:spacing w:after="0"/>
            </w:pPr>
            <w:r>
              <w:t>Sert à supprimer un point témoin sans perdre les validations précédentes.</w:t>
            </w:r>
          </w:p>
        </w:tc>
      </w:tr>
    </w:tbl>
    <w:p w14:paraId="10E8100F" w14:textId="77777777" w:rsidR="00146E18" w:rsidRDefault="008F45CE">
      <w:pPr>
        <w:rPr>
          <w:color w:val="666666"/>
          <w:sz w:val="18"/>
          <w:szCs w:val="18"/>
        </w:rPr>
      </w:pPr>
      <w:r>
        <w:rPr>
          <w:color w:val="666666"/>
          <w:sz w:val="18"/>
        </w:rPr>
        <w:t>Tableau 1 : Définir les éléments de la signature</w:t>
      </w:r>
    </w:p>
    <w:p w14:paraId="661A5AB1" w14:textId="77777777" w:rsidR="00D85A64" w:rsidRPr="00306AFF" w:rsidRDefault="00D85A64">
      <w:pPr>
        <w:rPr>
          <w:lang w:val="en-GB"/>
        </w:rPr>
      </w:pPr>
    </w:p>
    <w:p w14:paraId="32F33FBC" w14:textId="77777777" w:rsidR="00146E18" w:rsidRPr="00306AFF" w:rsidRDefault="008F45CE">
      <w:pPr>
        <w:pStyle w:val="Overskrift2"/>
      </w:pPr>
      <w:bookmarkStart w:id="7" w:name="_Toc176174736"/>
      <w:r>
        <w:t>Gestion des utilisateurs</w:t>
      </w:r>
      <w:bookmarkEnd w:id="7"/>
    </w:p>
    <w:p w14:paraId="38E0DC66" w14:textId="6D2C0E71" w:rsidR="00146E18" w:rsidRPr="00306AFF" w:rsidRDefault="008F45CE">
      <w:pPr>
        <w:spacing w:after="0"/>
      </w:pPr>
      <w:r>
        <w:t>Dans le menu « Settings » (Paramètres), cliquez sur « </w:t>
      </w:r>
      <w:proofErr w:type="spellStart"/>
      <w:r>
        <w:t>Users</w:t>
      </w:r>
      <w:proofErr w:type="spellEnd"/>
      <w:r>
        <w:t> » (Utilisateurs). Cela vous donnera un aperçu des groupes et des utilisateurs dans eWitness (fig. 8). Sur cette page, vous pouvez créer et gérer des groupes et des utilisateurs. Cliquez sur un groupe ou un utilisateur pour l’ouvrir ou cliquez sur le bouton « +new » (</w:t>
      </w:r>
      <w:r w:rsidR="00190658">
        <w:t>+n</w:t>
      </w:r>
      <w:r>
        <w:t>ouveau) pour en créer un nouveau (fig. 9).</w:t>
      </w:r>
    </w:p>
    <w:p w14:paraId="25740B60" w14:textId="77777777" w:rsidR="00146E18" w:rsidRPr="00306AFF" w:rsidRDefault="00146E18">
      <w:pPr>
        <w:rPr>
          <w:lang w:val="en-GB"/>
        </w:rPr>
      </w:pPr>
    </w:p>
    <w:p w14:paraId="6FE51EF0" w14:textId="77777777" w:rsidR="00146E18" w:rsidRPr="00306AFF" w:rsidRDefault="008F45CE">
      <w:pPr>
        <w:rPr>
          <w:color w:val="666666"/>
          <w:sz w:val="18"/>
          <w:szCs w:val="18"/>
        </w:rPr>
      </w:pPr>
      <w:r>
        <w:rPr>
          <w:noProof/>
        </w:rPr>
        <w:lastRenderedPageBreak/>
        <w:drawing>
          <wp:inline distT="114300" distB="114300" distL="114300" distR="114300" wp14:anchorId="7B98A7E4" wp14:editId="2A6DE23F">
            <wp:extent cx="5759140" cy="2527300"/>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5759140" cy="2527300"/>
                    </a:xfrm>
                    <a:prstGeom prst="rect">
                      <a:avLst/>
                    </a:prstGeom>
                    <a:ln/>
                  </pic:spPr>
                </pic:pic>
              </a:graphicData>
            </a:graphic>
          </wp:inline>
        </w:drawing>
      </w:r>
      <w:r>
        <w:rPr>
          <w:color w:val="666666"/>
          <w:sz w:val="18"/>
        </w:rPr>
        <w:t>Figure 8 : Gestion des utilisateurs</w:t>
      </w:r>
    </w:p>
    <w:p w14:paraId="43E0DED0" w14:textId="77777777" w:rsidR="00146E18" w:rsidRPr="00306AFF" w:rsidRDefault="008F45CE">
      <w:pPr>
        <w:rPr>
          <w:color w:val="666666"/>
          <w:sz w:val="18"/>
          <w:szCs w:val="18"/>
        </w:rPr>
      </w:pPr>
      <w:r>
        <w:rPr>
          <w:noProof/>
        </w:rPr>
        <w:drawing>
          <wp:inline distT="114300" distB="114300" distL="114300" distR="114300" wp14:anchorId="548D4DA6" wp14:editId="4BE8AD13">
            <wp:extent cx="5759140" cy="38989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759140" cy="3898900"/>
                    </a:xfrm>
                    <a:prstGeom prst="rect">
                      <a:avLst/>
                    </a:prstGeom>
                    <a:ln/>
                  </pic:spPr>
                </pic:pic>
              </a:graphicData>
            </a:graphic>
          </wp:inline>
        </w:drawing>
      </w:r>
      <w:r>
        <w:rPr>
          <w:color w:val="666666"/>
          <w:sz w:val="18"/>
        </w:rPr>
        <w:t>Figure 9 : Modifier un profil d’utilisateur</w:t>
      </w:r>
    </w:p>
    <w:p w14:paraId="24D0B4B2" w14:textId="77777777" w:rsidR="00146E18" w:rsidRPr="00306AFF" w:rsidRDefault="00146E18">
      <w:pPr>
        <w:rPr>
          <w:color w:val="666666"/>
          <w:sz w:val="18"/>
          <w:szCs w:val="18"/>
          <w:lang w:val="en-GB"/>
        </w:rPr>
      </w:pPr>
    </w:p>
    <w:p w14:paraId="75B0D00D" w14:textId="77777777" w:rsidR="00146E18" w:rsidRPr="00306AFF" w:rsidRDefault="008F45CE">
      <w:pPr>
        <w:pStyle w:val="Overskrift2"/>
      </w:pPr>
      <w:bookmarkStart w:id="8" w:name="_Toc176174737"/>
      <w:r>
        <w:t>Définitions des rapports</w:t>
      </w:r>
      <w:bookmarkEnd w:id="8"/>
    </w:p>
    <w:p w14:paraId="1B2A7631" w14:textId="658A1223" w:rsidR="00146E18" w:rsidRPr="00306AFF" w:rsidRDefault="008F45CE">
      <w:pPr>
        <w:spacing w:before="200" w:after="0"/>
      </w:pPr>
      <w:r w:rsidRPr="00114A8E">
        <w:rPr>
          <w:spacing w:val="-2"/>
        </w:rPr>
        <w:t>Dans eWitness, il est facile de générer des rapports détaillés. Dans le menu « Settings » (Paramètres),</w:t>
      </w:r>
      <w:r>
        <w:t xml:space="preserve"> cliquez sur « Reports » (Rapports). Cela vous donnera un aperçu de vos rapports (fig. 10). Sur cette page, vous pouvez modifier les rapports existants ou en élaborer de nouveaux. Double-cliquez sur un rapport pour l’ouvrir ou cliquez sur le bouton « +new » (</w:t>
      </w:r>
      <w:r w:rsidR="00DA5D82">
        <w:t>+n</w:t>
      </w:r>
      <w:r>
        <w:t>ouveau) pour en créer un nouveau.</w:t>
      </w:r>
    </w:p>
    <w:p w14:paraId="4704E5D4" w14:textId="77777777" w:rsidR="00146E18" w:rsidRPr="00306AFF" w:rsidRDefault="00146E18">
      <w:pPr>
        <w:rPr>
          <w:lang w:val="en-GB"/>
        </w:rPr>
      </w:pPr>
    </w:p>
    <w:p w14:paraId="21F1E06A" w14:textId="3DBA1DAD" w:rsidR="00146E18" w:rsidRPr="00306AFF" w:rsidRDefault="008F45CE">
      <w:r>
        <w:rPr>
          <w:noProof/>
        </w:rPr>
        <w:lastRenderedPageBreak/>
        <w:drawing>
          <wp:inline distT="114300" distB="114300" distL="114300" distR="114300" wp14:anchorId="38448E97" wp14:editId="391F04C8">
            <wp:extent cx="5759140" cy="2082800"/>
            <wp:effectExtent l="0" t="0" r="0" b="0"/>
            <wp:docPr id="1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1"/>
                    <a:srcRect/>
                    <a:stretch>
                      <a:fillRect/>
                    </a:stretch>
                  </pic:blipFill>
                  <pic:spPr>
                    <a:xfrm>
                      <a:off x="0" y="0"/>
                      <a:ext cx="5759140" cy="2082800"/>
                    </a:xfrm>
                    <a:prstGeom prst="rect">
                      <a:avLst/>
                    </a:prstGeom>
                    <a:ln/>
                  </pic:spPr>
                </pic:pic>
              </a:graphicData>
            </a:graphic>
          </wp:inline>
        </w:drawing>
      </w:r>
      <w:r>
        <w:rPr>
          <w:color w:val="666666"/>
          <w:sz w:val="18"/>
        </w:rPr>
        <w:t>Figure 10 : Aperçu des rapports</w:t>
      </w:r>
    </w:p>
    <w:p w14:paraId="573B19A6" w14:textId="6D117F5B" w:rsidR="00146E18" w:rsidRPr="00306AFF" w:rsidRDefault="00DA5D82">
      <w:r>
        <w:t>Dès qu’un</w:t>
      </w:r>
      <w:r>
        <w:t xml:space="preserve"> rapport </w:t>
      </w:r>
      <w:r>
        <w:t>est ouvert ou créé</w:t>
      </w:r>
      <w:r w:rsidR="008F45CE">
        <w:t xml:space="preserve">, un nouvel écran s’affiche (fig. 11). Vous pouvez y modifier les </w:t>
      </w:r>
      <w:r w:rsidR="008F45CE" w:rsidRPr="00FA0597">
        <w:rPr>
          <w:spacing w:val="-2"/>
        </w:rPr>
        <w:t>paramètres des rapports. L’écran comprend deux rubriques. Utilisez la rubrique en haut pour configurer</w:t>
      </w:r>
      <w:r w:rsidR="008F45CE">
        <w:t xml:space="preserve"> </w:t>
      </w:r>
      <w:r w:rsidR="008F45CE" w:rsidRPr="00FA0597">
        <w:rPr>
          <w:spacing w:val="-2"/>
        </w:rPr>
        <w:t>le type, le nom, la date et le groupe du rapport, ainsi que l’état (actif/inactif). Dans la deuxième rubrique,</w:t>
      </w:r>
      <w:r w:rsidR="008F45CE">
        <w:t xml:space="preserve"> il est possible de modifier la requête portant sur le rapport. Si vous ne vous sentez pas à l’aise pour le </w:t>
      </w:r>
      <w:r w:rsidR="008F45CE" w:rsidRPr="00FA0597">
        <w:rPr>
          <w:spacing w:val="-2"/>
        </w:rPr>
        <w:t>faire vous-même, n’hésitez pas à contacter eFertility pour solliciter de l’aide. Dès que vous avez terminé,</w:t>
      </w:r>
      <w:r w:rsidR="008F45CE">
        <w:t xml:space="preserve"> cliquez sur le bouton « </w:t>
      </w:r>
      <w:proofErr w:type="spellStart"/>
      <w:r w:rsidR="008F3187">
        <w:t>save</w:t>
      </w:r>
      <w:proofErr w:type="spellEnd"/>
      <w:r w:rsidR="008F3187">
        <w:t> </w:t>
      </w:r>
      <w:r w:rsidR="008F45CE">
        <w:t>» (</w:t>
      </w:r>
      <w:r w:rsidR="008F3187">
        <w:t>sauvegarder</w:t>
      </w:r>
      <w:r w:rsidR="008F45CE">
        <w:t>) pour enregistrer votre travail.</w:t>
      </w:r>
    </w:p>
    <w:p w14:paraId="1153D8AA" w14:textId="77777777" w:rsidR="00146E18" w:rsidRPr="00306AFF" w:rsidRDefault="008F45CE">
      <w:r>
        <w:rPr>
          <w:noProof/>
        </w:rPr>
        <w:drawing>
          <wp:inline distT="114300" distB="114300" distL="114300" distR="114300" wp14:anchorId="760742E5" wp14:editId="0F9E4E05">
            <wp:extent cx="5759140" cy="3860800"/>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a:stretch>
                      <a:fillRect/>
                    </a:stretch>
                  </pic:blipFill>
                  <pic:spPr>
                    <a:xfrm>
                      <a:off x="0" y="0"/>
                      <a:ext cx="5759140" cy="3860800"/>
                    </a:xfrm>
                    <a:prstGeom prst="rect">
                      <a:avLst/>
                    </a:prstGeom>
                    <a:ln/>
                  </pic:spPr>
                </pic:pic>
              </a:graphicData>
            </a:graphic>
          </wp:inline>
        </w:drawing>
      </w:r>
      <w:r>
        <w:rPr>
          <w:color w:val="666666"/>
          <w:sz w:val="18"/>
        </w:rPr>
        <w:t>Figure 11 : Modifier un rapport</w:t>
      </w:r>
    </w:p>
    <w:p w14:paraId="58AB9FB0" w14:textId="77777777" w:rsidR="00146E18" w:rsidRPr="00306AFF" w:rsidRDefault="00146E18" w:rsidP="00D85A64">
      <w:bookmarkStart w:id="9" w:name="_t5vi472uq3nr"/>
      <w:bookmarkEnd w:id="9"/>
    </w:p>
    <w:p w14:paraId="4B1A0A0A" w14:textId="77777777" w:rsidR="00146E18" w:rsidRPr="00306AFF" w:rsidRDefault="008F45CE">
      <w:pPr>
        <w:pStyle w:val="Overskrift1"/>
        <w:spacing w:before="200" w:after="0"/>
      </w:pPr>
      <w:bookmarkStart w:id="10" w:name="_Toc176174738"/>
      <w:r>
        <w:t>Mise en place globale</w:t>
      </w:r>
      <w:bookmarkEnd w:id="10"/>
    </w:p>
    <w:p w14:paraId="40FFF913" w14:textId="40257805" w:rsidR="00146E18" w:rsidRPr="00306AFF" w:rsidRDefault="008F45CE">
      <w:pPr>
        <w:spacing w:before="200" w:after="0"/>
      </w:pPr>
      <w:r>
        <w:t xml:space="preserve">Dès lors que les étiquettes ont été définies, les tâches d’impression paramétrées et les points témoins définis, le système est prêt à être utilisé. Il existe un manuel distinct portant sur l’utilisation de l’appli </w:t>
      </w:r>
      <w:proofErr w:type="spellStart"/>
      <w:r>
        <w:t>front-end</w:t>
      </w:r>
      <w:proofErr w:type="spellEnd"/>
      <w:r>
        <w:t xml:space="preserve"> eWitness.</w:t>
      </w:r>
    </w:p>
    <w:p w14:paraId="370326C5" w14:textId="041A493B" w:rsidR="00146E18" w:rsidRPr="00306AFF" w:rsidRDefault="008F45CE">
      <w:pPr>
        <w:spacing w:before="200" w:after="0"/>
      </w:pPr>
      <w:r>
        <w:lastRenderedPageBreak/>
        <w:t>L’appli de l’imprimante doit être installée sur une machine qui est connectée à des imprimantes d’étiquettes. Il existe également un manuel d’installation distinct pour cette appli d’imprimante. Cela permet de générer des étiquettes.</w:t>
      </w:r>
    </w:p>
    <w:p w14:paraId="1ED4A67A" w14:textId="77777777" w:rsidR="00146E18" w:rsidRPr="00306AFF" w:rsidRDefault="008F45CE">
      <w:pPr>
        <w:pStyle w:val="Overskrift1"/>
      </w:pPr>
      <w:bookmarkStart w:id="11" w:name="_Toc176174739"/>
      <w:r>
        <w:t>Utiliser le système pour planifier un cycle témoin</w:t>
      </w:r>
      <w:bookmarkEnd w:id="11"/>
    </w:p>
    <w:p w14:paraId="5F035FAC" w14:textId="77777777" w:rsidR="00146E18" w:rsidRPr="00306AFF" w:rsidRDefault="008F45CE">
      <w:pPr>
        <w:pStyle w:val="Overskrift2"/>
      </w:pPr>
      <w:bookmarkStart w:id="12" w:name="_Toc176174740"/>
      <w:r>
        <w:t>Trouver ou créer des patient(e)s</w:t>
      </w:r>
      <w:bookmarkEnd w:id="12"/>
    </w:p>
    <w:p w14:paraId="1F7A4305" w14:textId="2349961D" w:rsidR="00146E18" w:rsidRPr="00306AFF" w:rsidRDefault="008F45CE">
      <w:r>
        <w:t>Pour rechercher, modifier ou créer des patient(e)s, cliquez sur le bouton « Patient(e) » dans le menu. L’écran d’aperçu des patient(e)s s’ouvre (fig. 12). Vous pouvez y consulter et modifier les patient(e)s existant(e)s. Votre recherche peut se fonder sur l’ID patient(e), la date de naissance, le nom de famille et/ou le code donneur. Si vous souhaitez ajouter un nouveau patient ou une nouvelle patiente, cliquez sur le bouton « +new » (</w:t>
      </w:r>
      <w:r w:rsidR="008F3187">
        <w:t>+n</w:t>
      </w:r>
      <w:r>
        <w:t>ouveau).</w:t>
      </w:r>
    </w:p>
    <w:p w14:paraId="3069E21F" w14:textId="37EC04A8" w:rsidR="00146E18" w:rsidRPr="00306AFF" w:rsidRDefault="008F45CE">
      <w:r>
        <w:t>Dès que vous avez trouvé le/la patient(e) de votre choix, cliquez sur la ligne pour l’ouvrir. L’écran patient(e) et couple s’affiche (fig. 13). Vous pouvez y modifier les informations du ou de la patient(e), imprimer des cartes ID, imprimer des rapports ou ajouter un nouveau couple. Cet écran vous donne également un aperçu des couples reliés au patient ou à la patiente. Ouvrez un couple en cliquant dessus ou cliquez sur « +new couple » (</w:t>
      </w:r>
      <w:r w:rsidR="00B86988">
        <w:t>+a</w:t>
      </w:r>
      <w:r>
        <w:t>jouter un couple) pour en ajouter un nouveau.</w:t>
      </w:r>
    </w:p>
    <w:p w14:paraId="53AA49FE" w14:textId="77777777" w:rsidR="00146E18" w:rsidRPr="00306AFF" w:rsidRDefault="008F45CE">
      <w:pPr>
        <w:rPr>
          <w:color w:val="666666"/>
          <w:sz w:val="18"/>
          <w:szCs w:val="18"/>
        </w:rPr>
      </w:pPr>
      <w:r>
        <w:rPr>
          <w:noProof/>
        </w:rPr>
        <w:drawing>
          <wp:inline distT="114300" distB="114300" distL="114300" distR="114300" wp14:anchorId="4723CEFD" wp14:editId="43C88A17">
            <wp:extent cx="5759140" cy="2895600"/>
            <wp:effectExtent l="0" t="0" r="0" b="0"/>
            <wp:docPr id="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3"/>
                    <a:srcRect/>
                    <a:stretch>
                      <a:fillRect/>
                    </a:stretch>
                  </pic:blipFill>
                  <pic:spPr>
                    <a:xfrm>
                      <a:off x="0" y="0"/>
                      <a:ext cx="5759140" cy="2895600"/>
                    </a:xfrm>
                    <a:prstGeom prst="rect">
                      <a:avLst/>
                    </a:prstGeom>
                    <a:ln/>
                  </pic:spPr>
                </pic:pic>
              </a:graphicData>
            </a:graphic>
          </wp:inline>
        </w:drawing>
      </w:r>
      <w:r>
        <w:rPr>
          <w:color w:val="666666"/>
          <w:sz w:val="18"/>
        </w:rPr>
        <w:t>Figure 12 : Aperçu des patient(e)s</w:t>
      </w:r>
    </w:p>
    <w:p w14:paraId="46E5678B" w14:textId="77777777" w:rsidR="00146E18" w:rsidRPr="00306AFF" w:rsidRDefault="008F45CE">
      <w:pPr>
        <w:rPr>
          <w:color w:val="666666"/>
          <w:sz w:val="18"/>
          <w:szCs w:val="18"/>
        </w:rPr>
      </w:pPr>
      <w:r>
        <w:rPr>
          <w:noProof/>
          <w:color w:val="666666"/>
          <w:sz w:val="18"/>
        </w:rPr>
        <w:lastRenderedPageBreak/>
        <w:drawing>
          <wp:inline distT="114300" distB="114300" distL="114300" distR="114300" wp14:anchorId="7F666773" wp14:editId="169B917A">
            <wp:extent cx="5759140" cy="3390900"/>
            <wp:effectExtent l="0" t="0" r="0" b="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4"/>
                    <a:srcRect/>
                    <a:stretch>
                      <a:fillRect/>
                    </a:stretch>
                  </pic:blipFill>
                  <pic:spPr>
                    <a:xfrm>
                      <a:off x="0" y="0"/>
                      <a:ext cx="5759140" cy="3390900"/>
                    </a:xfrm>
                    <a:prstGeom prst="rect">
                      <a:avLst/>
                    </a:prstGeom>
                    <a:ln/>
                  </pic:spPr>
                </pic:pic>
              </a:graphicData>
            </a:graphic>
          </wp:inline>
        </w:drawing>
      </w:r>
      <w:r>
        <w:rPr>
          <w:color w:val="666666"/>
          <w:sz w:val="18"/>
        </w:rPr>
        <w:t>Figure 13 : Écran patient(e) et couple</w:t>
      </w:r>
    </w:p>
    <w:p w14:paraId="69C22A44" w14:textId="03647226" w:rsidR="00146E18" w:rsidRPr="00306AFF" w:rsidRDefault="008F45CE">
      <w:r>
        <w:t>Au moment de modifier les données d’un(e) patient(e), vous pouvez ajouter ou changer sa photo de profil. Pour cela, cliquez sur la photo de profil. Un nouvel écran apparaît (fig. 14). Vous pouvez choisir une photo existante ou en prendre une nouvelle si votre dispositif est équipé d’un appareil photo.</w:t>
      </w:r>
    </w:p>
    <w:p w14:paraId="58DC6CAF" w14:textId="77777777" w:rsidR="00146E18" w:rsidRPr="00306AFF" w:rsidRDefault="008F45CE">
      <w:r>
        <w:rPr>
          <w:noProof/>
        </w:rPr>
        <w:drawing>
          <wp:inline distT="114300" distB="114300" distL="114300" distR="114300" wp14:anchorId="6928C1F8" wp14:editId="5BA64054">
            <wp:extent cx="3345784" cy="2771458"/>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3345784" cy="2771458"/>
                    </a:xfrm>
                    <a:prstGeom prst="rect">
                      <a:avLst/>
                    </a:prstGeom>
                    <a:ln/>
                  </pic:spPr>
                </pic:pic>
              </a:graphicData>
            </a:graphic>
          </wp:inline>
        </w:drawing>
      </w:r>
    </w:p>
    <w:p w14:paraId="1B426AB1" w14:textId="3D23EF95" w:rsidR="00146E18" w:rsidRPr="00306AFF" w:rsidRDefault="008F45CE">
      <w:pPr>
        <w:rPr>
          <w:color w:val="666666"/>
          <w:sz w:val="18"/>
          <w:szCs w:val="18"/>
        </w:rPr>
      </w:pPr>
      <w:r>
        <w:rPr>
          <w:color w:val="666666"/>
          <w:sz w:val="18"/>
        </w:rPr>
        <w:t>Figure 14 : Ajouter ou changer la photo de profil</w:t>
      </w:r>
    </w:p>
    <w:p w14:paraId="5E03B81B" w14:textId="77777777" w:rsidR="00146E18" w:rsidRPr="00306AFF" w:rsidRDefault="00146E18">
      <w:pPr>
        <w:rPr>
          <w:color w:val="666666"/>
          <w:sz w:val="18"/>
          <w:szCs w:val="18"/>
          <w:lang w:val="en-GB"/>
        </w:rPr>
      </w:pPr>
    </w:p>
    <w:p w14:paraId="4FBAB94D" w14:textId="77777777" w:rsidR="00146E18" w:rsidRPr="00306AFF" w:rsidRDefault="008F45CE">
      <w:pPr>
        <w:pStyle w:val="Overskrift2"/>
      </w:pPr>
      <w:bookmarkStart w:id="13" w:name="_Toc176174741"/>
      <w:r>
        <w:t>Relier des patients pour former un couple</w:t>
      </w:r>
      <w:bookmarkEnd w:id="13"/>
    </w:p>
    <w:p w14:paraId="4963A27A" w14:textId="718CC1DB" w:rsidR="00146E18" w:rsidRPr="00306AFF" w:rsidRDefault="008F45CE">
      <w:r>
        <w:t>Pour relier des patients, vous devez d’abord créer ou trouver et ouvrir la patiente qui servira de base au couple. Cliquez sur le bouton « +new couple » (</w:t>
      </w:r>
      <w:r w:rsidR="00E67FFE">
        <w:t>+a</w:t>
      </w:r>
      <w:r>
        <w:t xml:space="preserve">jouter un couple) pour créer un nouveau couple. </w:t>
      </w:r>
      <w:r w:rsidRPr="000A3A78">
        <w:rPr>
          <w:spacing w:val="-2"/>
        </w:rPr>
        <w:t>Un nouvel écran apparaît (fig. 15). La seconde rubrique (</w:t>
      </w:r>
      <w:r w:rsidR="000A3A78" w:rsidRPr="000A3A78">
        <w:rPr>
          <w:spacing w:val="-2"/>
        </w:rPr>
        <w:t>« </w:t>
      </w:r>
      <w:proofErr w:type="spellStart"/>
      <w:r w:rsidR="000A3A78" w:rsidRPr="000A3A78">
        <w:rPr>
          <w:spacing w:val="-2"/>
        </w:rPr>
        <w:t>partner</w:t>
      </w:r>
      <w:proofErr w:type="spellEnd"/>
      <w:r w:rsidR="000A3A78" w:rsidRPr="000A3A78">
        <w:rPr>
          <w:spacing w:val="-2"/>
        </w:rPr>
        <w:t>/</w:t>
      </w:r>
      <w:proofErr w:type="spellStart"/>
      <w:r w:rsidR="000A3A78" w:rsidRPr="000A3A78">
        <w:rPr>
          <w:spacing w:val="-2"/>
        </w:rPr>
        <w:t>donor</w:t>
      </w:r>
      <w:proofErr w:type="spellEnd"/>
      <w:r w:rsidR="000A3A78" w:rsidRPr="000A3A78">
        <w:rPr>
          <w:spacing w:val="-2"/>
        </w:rPr>
        <w:t xml:space="preserve"> » </w:t>
      </w:r>
      <w:r w:rsidR="000A3A78" w:rsidRPr="000A3A78">
        <w:rPr>
          <w:spacing w:val="-2"/>
        </w:rPr>
        <w:t>(</w:t>
      </w:r>
      <w:r w:rsidRPr="000A3A78">
        <w:rPr>
          <w:spacing w:val="-2"/>
        </w:rPr>
        <w:t>partenaire/donneur)</w:t>
      </w:r>
      <w:r w:rsidR="000A3A78" w:rsidRPr="000A3A78">
        <w:rPr>
          <w:spacing w:val="-2"/>
        </w:rPr>
        <w:t>)</w:t>
      </w:r>
      <w:r w:rsidRPr="000A3A78">
        <w:rPr>
          <w:spacing w:val="-2"/>
        </w:rPr>
        <w:t xml:space="preserve"> servira</w:t>
      </w:r>
      <w:r>
        <w:t xml:space="preserve"> à relier les patients entre eux. Cliquez sur l’un des deux boutons « </w:t>
      </w:r>
      <w:proofErr w:type="spellStart"/>
      <w:r>
        <w:t>link</w:t>
      </w:r>
      <w:proofErr w:type="spellEnd"/>
      <w:r>
        <w:t xml:space="preserve"> » (relier) </w:t>
      </w:r>
      <w:r>
        <w:rPr>
          <w:rFonts w:ascii="Segoe UI Emoji" w:hAnsi="Segoe UI Emoji"/>
        </w:rPr>
        <w:t>🔗</w:t>
      </w:r>
      <w:r>
        <w:t xml:space="preserve"> pour relier la patiente à une source de sperme ou une donneuse d’ovocytes. Dans le cas d’un donneur de sperme, utilisez le </w:t>
      </w:r>
      <w:r>
        <w:lastRenderedPageBreak/>
        <w:t>bouton « switch » (basculer) partenaire/donneur pour indiquer si la source de sperme est un partenaire ou un donneur.</w:t>
      </w:r>
    </w:p>
    <w:p w14:paraId="0E5D048E" w14:textId="77777777" w:rsidR="00146E18" w:rsidRPr="00306AFF" w:rsidRDefault="008F45CE">
      <w:r>
        <w:t>Si vous souhaitez changer ou retirer un donneur déjà couplé, utilisez le bouton « </w:t>
      </w:r>
      <w:proofErr w:type="spellStart"/>
      <w:r>
        <w:t>link</w:t>
      </w:r>
      <w:proofErr w:type="spellEnd"/>
      <w:r>
        <w:t> » (relier) (qui sera alors un bouton « </w:t>
      </w:r>
      <w:proofErr w:type="spellStart"/>
      <w:r>
        <w:t>unlink</w:t>
      </w:r>
      <w:proofErr w:type="spellEnd"/>
      <w:r>
        <w:t> » pour dissocier).</w:t>
      </w:r>
    </w:p>
    <w:p w14:paraId="716621D1" w14:textId="77777777" w:rsidR="00146E18" w:rsidRPr="00306AFF" w:rsidRDefault="008F45CE">
      <w:pPr>
        <w:rPr>
          <w:color w:val="666666"/>
          <w:sz w:val="18"/>
          <w:szCs w:val="18"/>
        </w:rPr>
      </w:pPr>
      <w:r>
        <w:rPr>
          <w:noProof/>
        </w:rPr>
        <w:drawing>
          <wp:inline distT="114300" distB="114300" distL="114300" distR="114300" wp14:anchorId="13FEAC50" wp14:editId="2C252BB7">
            <wp:extent cx="5759140" cy="51689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a:stretch>
                      <a:fillRect/>
                    </a:stretch>
                  </pic:blipFill>
                  <pic:spPr>
                    <a:xfrm>
                      <a:off x="0" y="0"/>
                      <a:ext cx="5759140" cy="5168900"/>
                    </a:xfrm>
                    <a:prstGeom prst="rect">
                      <a:avLst/>
                    </a:prstGeom>
                    <a:ln/>
                  </pic:spPr>
                </pic:pic>
              </a:graphicData>
            </a:graphic>
          </wp:inline>
        </w:drawing>
      </w:r>
      <w:r>
        <w:rPr>
          <w:color w:val="666666"/>
          <w:sz w:val="18"/>
        </w:rPr>
        <w:t>Figure 15 : Créer et/ou modifier le couple</w:t>
      </w:r>
    </w:p>
    <w:p w14:paraId="762C471C" w14:textId="77777777" w:rsidR="00146E18" w:rsidRPr="00306AFF" w:rsidRDefault="00146E18">
      <w:pPr>
        <w:rPr>
          <w:color w:val="666666"/>
          <w:sz w:val="18"/>
          <w:szCs w:val="18"/>
          <w:lang w:val="en-GB"/>
        </w:rPr>
      </w:pPr>
    </w:p>
    <w:p w14:paraId="1BB0E480" w14:textId="77777777" w:rsidR="00146E18" w:rsidRPr="00306AFF" w:rsidRDefault="008F45CE">
      <w:pPr>
        <w:pStyle w:val="Overskrift2"/>
      </w:pPr>
      <w:bookmarkStart w:id="14" w:name="_Toc176174742"/>
      <w:r>
        <w:t>Création d’un cycle témoin pour un couple</w:t>
      </w:r>
      <w:bookmarkEnd w:id="14"/>
    </w:p>
    <w:p w14:paraId="6C3AC88E" w14:textId="095FC4FE" w:rsidR="00146E18" w:rsidRPr="00306AFF" w:rsidRDefault="008F45CE">
      <w:r>
        <w:t xml:space="preserve">Une fois que vous avez créé un couple conformément aux consignes du chapitre précédent, il est possible de créer un cycle témoin. Pour cela, cliquez sur le bouton « +plan </w:t>
      </w:r>
      <w:proofErr w:type="spellStart"/>
      <w:r>
        <w:t>witness</w:t>
      </w:r>
      <w:proofErr w:type="spellEnd"/>
      <w:r>
        <w:t xml:space="preserve"> cycle » (</w:t>
      </w:r>
      <w:r w:rsidR="00A36C17">
        <w:t>+</w:t>
      </w:r>
      <w:r>
        <w:t>planifier un cycle témoin) (fig. 15). Un nouvel écran apparaît (fig. 16).</w:t>
      </w:r>
    </w:p>
    <w:p w14:paraId="262CE96C" w14:textId="77777777" w:rsidR="00146E18" w:rsidRPr="00306AFF" w:rsidRDefault="008F45CE">
      <w:r>
        <w:rPr>
          <w:noProof/>
        </w:rPr>
        <w:lastRenderedPageBreak/>
        <w:drawing>
          <wp:inline distT="114300" distB="114300" distL="114300" distR="114300" wp14:anchorId="290ADD3B" wp14:editId="20D5DA6E">
            <wp:extent cx="5759140" cy="492760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5759140" cy="4927600"/>
                    </a:xfrm>
                    <a:prstGeom prst="rect">
                      <a:avLst/>
                    </a:prstGeom>
                    <a:ln/>
                  </pic:spPr>
                </pic:pic>
              </a:graphicData>
            </a:graphic>
          </wp:inline>
        </w:drawing>
      </w:r>
      <w:r>
        <w:rPr>
          <w:color w:val="666666"/>
          <w:sz w:val="18"/>
        </w:rPr>
        <w:t>Figure 16 : Créer et/ou modifier un cycle témoin</w:t>
      </w:r>
    </w:p>
    <w:p w14:paraId="24039533" w14:textId="05BD52CC" w:rsidR="00146E18" w:rsidRPr="00306AFF" w:rsidRDefault="008F45CE" w:rsidP="00F81B11">
      <w:pPr>
        <w:spacing w:after="0"/>
      </w:pPr>
      <w:r w:rsidRPr="00777B55">
        <w:rPr>
          <w:spacing w:val="-2"/>
        </w:rPr>
        <w:t>Cet écran comporte quatre étapes. Étape 1 : Définissez la date et le type du cycle. Étape 2 : Choisissez</w:t>
      </w:r>
      <w:r>
        <w:t xml:space="preserve"> de décongeler le sperme ou les ovocytes. Étape 3 : Définissez le sort de l’embryon/de l’ovocyte/du sperme. Étape 4 : Sauvegardez votre travail. La troisième étape peut être traitée ultérieurement dans votre flux de travail.</w:t>
      </w:r>
    </w:p>
    <w:p w14:paraId="387F8B83" w14:textId="77777777" w:rsidR="00146E18" w:rsidRPr="00306AFF" w:rsidRDefault="00146E18" w:rsidP="00F81B11">
      <w:pPr>
        <w:spacing w:after="0"/>
        <w:rPr>
          <w:b/>
          <w:lang w:val="en-GB"/>
        </w:rPr>
      </w:pPr>
    </w:p>
    <w:p w14:paraId="1017ED18" w14:textId="77777777" w:rsidR="00146E18" w:rsidRPr="00306AFF" w:rsidRDefault="008F45CE">
      <w:pPr>
        <w:pStyle w:val="Overskrift2"/>
      </w:pPr>
      <w:bookmarkStart w:id="15" w:name="_Toc176174743"/>
      <w:r>
        <w:t>Aperçu des cycles témoins dans la vue de laboratoire</w:t>
      </w:r>
      <w:bookmarkEnd w:id="15"/>
    </w:p>
    <w:p w14:paraId="00EF76A8" w14:textId="08F986B9" w:rsidR="00146E18" w:rsidRPr="00306AFF" w:rsidRDefault="008F45CE">
      <w:r w:rsidRPr="00C93040">
        <w:rPr>
          <w:spacing w:val="-2"/>
        </w:rPr>
        <w:t xml:space="preserve">L’écran de la liste du jour (ou la vue de laboratoire) vous donne un aperçu complet de toutes les actions à réaliser quotidiennement. Pour l’ouvrir, cliquez sur l’icône du calendrier dans le menu (fig. 17). L’écran </w:t>
      </w:r>
      <w:r w:rsidRPr="00C93040">
        <w:t>se compose de sept widgets : « </w:t>
      </w:r>
      <w:proofErr w:type="spellStart"/>
      <w:r w:rsidRPr="00C93040">
        <w:t>semen</w:t>
      </w:r>
      <w:proofErr w:type="spellEnd"/>
      <w:r w:rsidRPr="00C93040">
        <w:t> » (sperme), « oocytes » (ovocytes), « </w:t>
      </w:r>
      <w:proofErr w:type="spellStart"/>
      <w:r w:rsidRPr="00C93040">
        <w:t>insemination</w:t>
      </w:r>
      <w:proofErr w:type="spellEnd"/>
      <w:r w:rsidRPr="00C93040">
        <w:t>/injection »</w:t>
      </w:r>
      <w:r>
        <w:t xml:space="preserve"> (insémination/injection), « </w:t>
      </w:r>
      <w:proofErr w:type="spellStart"/>
      <w:r>
        <w:t>embryo</w:t>
      </w:r>
      <w:proofErr w:type="spellEnd"/>
      <w:r>
        <w:t>/oocytes » (embryons/ovocytes), « TE » (transfert d’embryons), « freeze » (congeler) et « </w:t>
      </w:r>
      <w:proofErr w:type="spellStart"/>
      <w:r>
        <w:t>thaw</w:t>
      </w:r>
      <w:proofErr w:type="spellEnd"/>
      <w:r>
        <w:t> » (décongeler). Cela repose sur les cycles témoins que vous avez créés conformément aux consignes du paragraphe précédent. Sélectionnez la date de votre choix en haut de l’écran.</w:t>
      </w:r>
    </w:p>
    <w:p w14:paraId="7DA7C2B3" w14:textId="60FBF7A6" w:rsidR="00146E18" w:rsidRPr="00306AFF" w:rsidRDefault="008F45CE">
      <w:r w:rsidRPr="00C93040">
        <w:rPr>
          <w:spacing w:val="-2"/>
        </w:rPr>
        <w:t xml:space="preserve">Chaque widget comporte des informations sur les cycles témoins. Vous connaissez ainsi le sexe, le nom </w:t>
      </w:r>
      <w:r w:rsidRPr="00C93040">
        <w:t>du patient ou de la patiente, sa date de naissance, le type de traitement et le nombre de signatures. Si</w:t>
      </w:r>
      <w:r>
        <w:t xml:space="preserve"> toutes les signatures requises sont saisies, un symbole de type œil vert apparaît. En cliquant sur une ligne, un cycle témoin peut être ouvert et modifié.</w:t>
      </w:r>
    </w:p>
    <w:p w14:paraId="27E54BA9" w14:textId="77777777" w:rsidR="00146E18" w:rsidRPr="00306AFF" w:rsidRDefault="00146E18">
      <w:pPr>
        <w:rPr>
          <w:lang w:val="en-GB"/>
        </w:rPr>
      </w:pPr>
    </w:p>
    <w:p w14:paraId="2294505D" w14:textId="38F586E2" w:rsidR="00146E18" w:rsidRPr="00306AFF" w:rsidRDefault="008F45CE">
      <w:r>
        <w:rPr>
          <w:noProof/>
        </w:rPr>
        <w:lastRenderedPageBreak/>
        <w:drawing>
          <wp:inline distT="114300" distB="114300" distL="114300" distR="114300" wp14:anchorId="47297811" wp14:editId="1CEFF04E">
            <wp:extent cx="5759140" cy="3060700"/>
            <wp:effectExtent l="0" t="0" r="0" b="0"/>
            <wp:docPr id="2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8"/>
                    <a:srcRect/>
                    <a:stretch>
                      <a:fillRect/>
                    </a:stretch>
                  </pic:blipFill>
                  <pic:spPr>
                    <a:xfrm>
                      <a:off x="0" y="0"/>
                      <a:ext cx="5759140" cy="3060700"/>
                    </a:xfrm>
                    <a:prstGeom prst="rect">
                      <a:avLst/>
                    </a:prstGeom>
                    <a:ln/>
                  </pic:spPr>
                </pic:pic>
              </a:graphicData>
            </a:graphic>
          </wp:inline>
        </w:drawing>
      </w:r>
      <w:r>
        <w:rPr>
          <w:color w:val="666666"/>
          <w:sz w:val="18"/>
        </w:rPr>
        <w:t>Figure 17 : Aperçu de la liste du jour</w:t>
      </w:r>
    </w:p>
    <w:p w14:paraId="2EDBBB94" w14:textId="218FCEBE" w:rsidR="00146E18" w:rsidRPr="00306AFF" w:rsidRDefault="008F45CE">
      <w:r>
        <w:t>Votre flux de travail prend forme au moment de la configuration des points témoins. Pour valider un point témoin, une signature est requise. Le nombre affiché dans chaque ligne vous indique combien de signatures ont déjà été saisies. Le symbole de type œil vert s’affiche lorsque toutes les signatures requises sont saisies. Si vous cliquez sur le symbole œil vert/nombre, un aperçu des signatures requises apparaît (fig. 18).</w:t>
      </w:r>
    </w:p>
    <w:p w14:paraId="3EB7F4A8" w14:textId="77777777" w:rsidR="00146E18" w:rsidRPr="00306AFF" w:rsidRDefault="008F45CE">
      <w:r>
        <w:rPr>
          <w:noProof/>
        </w:rPr>
        <w:drawing>
          <wp:inline distT="114300" distB="114300" distL="114300" distR="114300" wp14:anchorId="3BE2A8CB" wp14:editId="01724007">
            <wp:extent cx="5759140" cy="2667000"/>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5759140" cy="2667000"/>
                    </a:xfrm>
                    <a:prstGeom prst="rect">
                      <a:avLst/>
                    </a:prstGeom>
                    <a:ln/>
                  </pic:spPr>
                </pic:pic>
              </a:graphicData>
            </a:graphic>
          </wp:inline>
        </w:drawing>
      </w:r>
      <w:r>
        <w:rPr>
          <w:color w:val="666666"/>
          <w:sz w:val="18"/>
        </w:rPr>
        <w:t>Figure 18 : Signatures requises</w:t>
      </w:r>
    </w:p>
    <w:p w14:paraId="3231AD58" w14:textId="53B085C1" w:rsidR="00146E18" w:rsidRPr="00306AFF" w:rsidRDefault="008F45CE">
      <w:r>
        <w:t xml:space="preserve">Les signatures en gris ne peuvent être saisies que si les signatures requises précédemment ont été enregistrées. Dès qu’une signature est apposée, le point témoin devient orange. Les signatures en orange peuvent être retirées par les administrateurs locaux en cliquant dessus. Si un suivi témoin ne </w:t>
      </w:r>
      <w:r w:rsidRPr="00B04D5B">
        <w:rPr>
          <w:spacing w:val="-2"/>
        </w:rPr>
        <w:t>peut pas être fait au moyen du dispositif prévu à cet effet, une signature peut être saisie via l’application</w:t>
      </w:r>
      <w:r>
        <w:t xml:space="preserve"> back-office. Cliquez sur le point témoin pour procéder. Un nouvel écran apparaît (fig. 19).</w:t>
      </w:r>
    </w:p>
    <w:p w14:paraId="36D3DA6B" w14:textId="0BD86B26" w:rsidR="00146E18" w:rsidRPr="00306AFF" w:rsidRDefault="008F45CE">
      <w:pPr>
        <w:rPr>
          <w:color w:val="FF0000"/>
        </w:rPr>
      </w:pPr>
      <w:r>
        <w:rPr>
          <w:noProof/>
          <w:color w:val="FF0000"/>
        </w:rPr>
        <w:lastRenderedPageBreak/>
        <w:drawing>
          <wp:inline distT="114300" distB="114300" distL="114300" distR="114300" wp14:anchorId="170EFC93" wp14:editId="34FC5770">
            <wp:extent cx="3828793" cy="4076383"/>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a:stretch>
                      <a:fillRect/>
                    </a:stretch>
                  </pic:blipFill>
                  <pic:spPr>
                    <a:xfrm>
                      <a:off x="0" y="0"/>
                      <a:ext cx="3828793" cy="4076383"/>
                    </a:xfrm>
                    <a:prstGeom prst="rect">
                      <a:avLst/>
                    </a:prstGeom>
                    <a:ln/>
                  </pic:spPr>
                </pic:pic>
              </a:graphicData>
            </a:graphic>
          </wp:inline>
        </w:drawing>
      </w:r>
    </w:p>
    <w:p w14:paraId="786EFF5A" w14:textId="77777777" w:rsidR="00146E18" w:rsidRPr="00306AFF" w:rsidRDefault="008F45CE">
      <w:pPr>
        <w:rPr>
          <w:color w:val="FF0000"/>
        </w:rPr>
      </w:pPr>
      <w:r>
        <w:rPr>
          <w:color w:val="666666"/>
          <w:sz w:val="18"/>
        </w:rPr>
        <w:t>Figure 19 : Saisir une signature manuellement</w:t>
      </w:r>
    </w:p>
    <w:p w14:paraId="554720A5" w14:textId="1D09969D" w:rsidR="00146E18" w:rsidRPr="00306AFF" w:rsidRDefault="003250B6" w:rsidP="00F81B11">
      <w:pPr>
        <w:spacing w:after="0"/>
      </w:pPr>
      <w:r>
        <w:t>Sur cet écran, vous pouvez saisir votre signature en scannant un code-barres ou en tapant vos initiales et votre code PIN. Dès que vous avez terminé, cliquez sur le bouton « </w:t>
      </w:r>
      <w:proofErr w:type="spellStart"/>
      <w:r w:rsidR="001B7EBD">
        <w:t>save</w:t>
      </w:r>
      <w:proofErr w:type="spellEnd"/>
      <w:r w:rsidR="001B7EBD">
        <w:t> </w:t>
      </w:r>
      <w:r>
        <w:t>» (</w:t>
      </w:r>
      <w:r w:rsidR="001B7EBD">
        <w:t>sauvegarder</w:t>
      </w:r>
      <w:r>
        <w:t>) pour enregistrer votre travail.</w:t>
      </w:r>
    </w:p>
    <w:p w14:paraId="24BC4B03" w14:textId="77777777" w:rsidR="00146E18" w:rsidRPr="00306AFF" w:rsidRDefault="00146E18" w:rsidP="00F81B11">
      <w:pPr>
        <w:spacing w:after="0"/>
        <w:rPr>
          <w:lang w:val="en-GB"/>
        </w:rPr>
      </w:pPr>
    </w:p>
    <w:p w14:paraId="6696693C" w14:textId="77777777" w:rsidR="00146E18" w:rsidRPr="00306AFF" w:rsidRDefault="008F45CE">
      <w:pPr>
        <w:pStyle w:val="Overskrift2"/>
      </w:pPr>
      <w:bookmarkStart w:id="16" w:name="_Toc176174744"/>
      <w:r>
        <w:t>Affichage sur tablettes et PC</w:t>
      </w:r>
      <w:bookmarkEnd w:id="16"/>
    </w:p>
    <w:p w14:paraId="33501703" w14:textId="34A80886" w:rsidR="00146E18" w:rsidRPr="00306AFF" w:rsidRDefault="008F45CE">
      <w:r>
        <w:t>eWitness est conçue pour être utilisée sur un appareil mobile ou un ordinateur de bureau. L’écran de la liste du jour (ou la vue de laboratoire) peut basculer d’une version à l’autre afin de garantir un affichage optimal sur un écran de tablette ou un grand écran d’ordinateur. Il y a deux boutons en haut à gauche de l’écran (fig. 20). Utilisez le bouton de gauche pour basculer entre la vue tablette et la vue PC. La vue tablette vous offre les mêmes informations que la vue PC, mais sous la forme d’une liste. Le bouton de droite permet d’ajuster l’affichage à votre écran de PC.</w:t>
      </w:r>
    </w:p>
    <w:p w14:paraId="228F9D5E" w14:textId="77777777" w:rsidR="00146E18" w:rsidRPr="00306AFF" w:rsidRDefault="008F45CE">
      <w:r>
        <w:rPr>
          <w:noProof/>
        </w:rPr>
        <w:lastRenderedPageBreak/>
        <w:drawing>
          <wp:inline distT="114300" distB="114300" distL="114300" distR="114300" wp14:anchorId="4FB34654" wp14:editId="2B9DF685">
            <wp:extent cx="5759140" cy="2298700"/>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1"/>
                    <a:srcRect/>
                    <a:stretch>
                      <a:fillRect/>
                    </a:stretch>
                  </pic:blipFill>
                  <pic:spPr>
                    <a:xfrm>
                      <a:off x="0" y="0"/>
                      <a:ext cx="5759140" cy="2298700"/>
                    </a:xfrm>
                    <a:prstGeom prst="rect">
                      <a:avLst/>
                    </a:prstGeom>
                    <a:ln/>
                  </pic:spPr>
                </pic:pic>
              </a:graphicData>
            </a:graphic>
          </wp:inline>
        </w:drawing>
      </w:r>
      <w:r>
        <w:rPr>
          <w:color w:val="666666"/>
          <w:sz w:val="18"/>
        </w:rPr>
        <w:t>Figure 20 : Boutons d’ajustement de la taille de l’écran</w:t>
      </w:r>
    </w:p>
    <w:p w14:paraId="7A94D95D" w14:textId="77777777" w:rsidR="00146E18" w:rsidRPr="00306AFF" w:rsidRDefault="00146E18" w:rsidP="00F81B11">
      <w:pPr>
        <w:spacing w:after="120"/>
      </w:pPr>
      <w:bookmarkStart w:id="17" w:name="_sl5j9ptey5tb"/>
      <w:bookmarkEnd w:id="17"/>
    </w:p>
    <w:p w14:paraId="3B63CA28" w14:textId="77777777" w:rsidR="00146E18" w:rsidRPr="00306AFF" w:rsidRDefault="008F45CE">
      <w:pPr>
        <w:pStyle w:val="Overskrift2"/>
      </w:pPr>
      <w:bookmarkStart w:id="18" w:name="_Toc176174745"/>
      <w:r>
        <w:t>Consulter et enregistrer les erreurs de scan</w:t>
      </w:r>
      <w:bookmarkEnd w:id="18"/>
    </w:p>
    <w:p w14:paraId="7E4F46A8" w14:textId="1D5FCF7D" w:rsidR="00146E18" w:rsidRPr="00306AFF" w:rsidRDefault="008F45CE">
      <w:r>
        <w:t>En cas d’erreur de scan, un message d’avertissement apparaît sur l’écran de la liste du jour (ou la vue de laboratoire) (fig. 21).</w:t>
      </w:r>
    </w:p>
    <w:p w14:paraId="42568AF9" w14:textId="77777777" w:rsidR="00146E18" w:rsidRPr="00306AFF" w:rsidRDefault="008F45CE">
      <w:r>
        <w:rPr>
          <w:noProof/>
        </w:rPr>
        <w:drawing>
          <wp:inline distT="114300" distB="114300" distL="114300" distR="114300" wp14:anchorId="660720FC" wp14:editId="3A894721">
            <wp:extent cx="3981133" cy="2595109"/>
            <wp:effectExtent l="0" t="0" r="0" b="0"/>
            <wp:docPr id="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2"/>
                    <a:srcRect/>
                    <a:stretch>
                      <a:fillRect/>
                    </a:stretch>
                  </pic:blipFill>
                  <pic:spPr>
                    <a:xfrm>
                      <a:off x="0" y="0"/>
                      <a:ext cx="3981133" cy="2595109"/>
                    </a:xfrm>
                    <a:prstGeom prst="rect">
                      <a:avLst/>
                    </a:prstGeom>
                    <a:ln/>
                  </pic:spPr>
                </pic:pic>
              </a:graphicData>
            </a:graphic>
          </wp:inline>
        </w:drawing>
      </w:r>
    </w:p>
    <w:p w14:paraId="0D1E5AB0" w14:textId="77777777" w:rsidR="00146E18" w:rsidRPr="00306AFF" w:rsidRDefault="008F45CE">
      <w:pPr>
        <w:rPr>
          <w:color w:val="666666"/>
          <w:sz w:val="18"/>
          <w:szCs w:val="18"/>
        </w:rPr>
      </w:pPr>
      <w:r>
        <w:rPr>
          <w:color w:val="666666"/>
          <w:sz w:val="18"/>
        </w:rPr>
        <w:t>Figure 21 : Erreur de scan signalée</w:t>
      </w:r>
    </w:p>
    <w:p w14:paraId="1E75FB8E" w14:textId="77777777" w:rsidR="00146E18" w:rsidRPr="00306AFF" w:rsidRDefault="008F45CE">
      <w:r>
        <w:t>En cliquant sur le bouton « </w:t>
      </w:r>
      <w:r>
        <w:rPr>
          <w:rFonts w:ascii="Segoe UI Emoji" w:hAnsi="Segoe UI Emoji"/>
        </w:rPr>
        <w:t>⚠</w:t>
      </w:r>
      <w:proofErr w:type="spellStart"/>
      <w:r>
        <w:t>misscan</w:t>
      </w:r>
      <w:proofErr w:type="spellEnd"/>
      <w:r>
        <w:t xml:space="preserve"> </w:t>
      </w:r>
      <w:proofErr w:type="spellStart"/>
      <w:r>
        <w:t>reported</w:t>
      </w:r>
      <w:proofErr w:type="spellEnd"/>
      <w:r>
        <w:t> » (erreur de scan signalée), vous obtenez un aperçu des erreurs de scan (fig. 22).</w:t>
      </w:r>
    </w:p>
    <w:p w14:paraId="2F404004" w14:textId="581C3133" w:rsidR="00146E18" w:rsidRPr="00306AFF" w:rsidRDefault="008F45CE">
      <w:pPr>
        <w:rPr>
          <w:color w:val="666666"/>
          <w:sz w:val="18"/>
          <w:szCs w:val="18"/>
        </w:rPr>
      </w:pPr>
      <w:r>
        <w:rPr>
          <w:noProof/>
        </w:rPr>
        <w:drawing>
          <wp:inline distT="114300" distB="114300" distL="114300" distR="114300" wp14:anchorId="3F7A7FD3" wp14:editId="59869C64">
            <wp:extent cx="5759140" cy="1092200"/>
            <wp:effectExtent l="0" t="0" r="0" b="0"/>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3"/>
                    <a:srcRect/>
                    <a:stretch>
                      <a:fillRect/>
                    </a:stretch>
                  </pic:blipFill>
                  <pic:spPr>
                    <a:xfrm>
                      <a:off x="0" y="0"/>
                      <a:ext cx="5759140" cy="1092200"/>
                    </a:xfrm>
                    <a:prstGeom prst="rect">
                      <a:avLst/>
                    </a:prstGeom>
                    <a:ln/>
                  </pic:spPr>
                </pic:pic>
              </a:graphicData>
            </a:graphic>
          </wp:inline>
        </w:drawing>
      </w:r>
      <w:r>
        <w:rPr>
          <w:color w:val="666666"/>
          <w:sz w:val="18"/>
        </w:rPr>
        <w:t>Figure 22 : Aperçu des erreurs de scan</w:t>
      </w:r>
    </w:p>
    <w:p w14:paraId="36CA9567" w14:textId="77777777" w:rsidR="00146E18" w:rsidRPr="00306AFF" w:rsidRDefault="008F45CE">
      <w:r>
        <w:t>Cliquez sur la ligne pour ouvrir l’erreur de scan. Un nouvel écran apparaît (fig. 23).</w:t>
      </w:r>
    </w:p>
    <w:p w14:paraId="14D25953" w14:textId="77777777" w:rsidR="00146E18" w:rsidRPr="00306AFF" w:rsidRDefault="008F45CE">
      <w:pPr>
        <w:rPr>
          <w:color w:val="666666"/>
          <w:sz w:val="18"/>
          <w:szCs w:val="18"/>
        </w:rPr>
      </w:pPr>
      <w:r>
        <w:rPr>
          <w:noProof/>
        </w:rPr>
        <w:lastRenderedPageBreak/>
        <w:drawing>
          <wp:inline distT="114300" distB="114300" distL="114300" distR="114300" wp14:anchorId="1C2A80E5" wp14:editId="259F9F7E">
            <wp:extent cx="5759140" cy="1511300"/>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a:stretch>
                      <a:fillRect/>
                    </a:stretch>
                  </pic:blipFill>
                  <pic:spPr>
                    <a:xfrm>
                      <a:off x="0" y="0"/>
                      <a:ext cx="5759140" cy="1511300"/>
                    </a:xfrm>
                    <a:prstGeom prst="rect">
                      <a:avLst/>
                    </a:prstGeom>
                    <a:ln/>
                  </pic:spPr>
                </pic:pic>
              </a:graphicData>
            </a:graphic>
          </wp:inline>
        </w:drawing>
      </w:r>
      <w:r>
        <w:rPr>
          <w:color w:val="666666"/>
          <w:sz w:val="18"/>
        </w:rPr>
        <w:t>Figure 23 : Écran des informations relatives à l’erreur de scan</w:t>
      </w:r>
    </w:p>
    <w:p w14:paraId="7CF6699F" w14:textId="33A299A4" w:rsidR="00146E18" w:rsidRPr="00306AFF" w:rsidRDefault="00CA64CE">
      <w:pPr>
        <w:rPr>
          <w:color w:val="666666"/>
          <w:sz w:val="18"/>
          <w:szCs w:val="18"/>
        </w:rPr>
      </w:pPr>
      <w:r>
        <w:t>Sur cet écran, vous pouvez consulter les informations relatives à l’erreur de scan. Vous pouvez également sélectionner un motif expliquant l’erreur de scan. Autrement, saisissez manuellement les informations supplémentaires.</w:t>
      </w:r>
    </w:p>
    <w:sectPr w:rsidR="00146E18" w:rsidRPr="00306AFF">
      <w:headerReference w:type="default" r:id="rId35"/>
      <w:footerReference w:type="default" r:id="rId36"/>
      <w:footerReference w:type="first" r:id="rId37"/>
      <w:pgSz w:w="11906" w:h="16838"/>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59F471" w14:textId="77777777" w:rsidR="008F45CE" w:rsidRDefault="008F45CE">
      <w:pPr>
        <w:spacing w:after="0"/>
      </w:pPr>
      <w:r>
        <w:separator/>
      </w:r>
    </w:p>
  </w:endnote>
  <w:endnote w:type="continuationSeparator" w:id="0">
    <w:p w14:paraId="5E101A7F" w14:textId="77777777" w:rsidR="008F45CE" w:rsidRDefault="008F45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3D661" w14:textId="46704257" w:rsidR="00146E18" w:rsidRDefault="008F45CE">
    <w:pPr>
      <w:pBdr>
        <w:top w:val="single" w:sz="4" w:space="1" w:color="000000"/>
        <w:left w:val="nil"/>
        <w:bottom w:val="nil"/>
        <w:right w:val="nil"/>
        <w:between w:val="nil"/>
      </w:pBdr>
      <w:tabs>
        <w:tab w:val="center" w:pos="4536"/>
        <w:tab w:val="right" w:pos="9072"/>
      </w:tabs>
      <w:spacing w:after="0"/>
      <w:rPr>
        <w:rFonts w:ascii="Calibri" w:eastAsia="Calibri" w:hAnsi="Calibri" w:cs="Calibri"/>
        <w:i/>
        <w:color w:val="000000"/>
        <w:sz w:val="16"/>
        <w:szCs w:val="16"/>
      </w:rPr>
    </w:pPr>
    <w:r>
      <w:rPr>
        <w:rFonts w:ascii="Calibri" w:hAnsi="Calibri"/>
        <w:i/>
        <w:color w:val="000000"/>
        <w:sz w:val="16"/>
      </w:rPr>
      <w:t xml:space="preserve">Manuel du back-office </w:t>
    </w:r>
    <w:r>
      <w:rPr>
        <w:rFonts w:ascii="Calibri" w:hAnsi="Calibri"/>
        <w:i/>
        <w:sz w:val="16"/>
      </w:rPr>
      <w:t>eWitness</w:t>
    </w:r>
    <w:r>
      <w:rPr>
        <w:rFonts w:ascii="Calibri" w:hAnsi="Calibri"/>
        <w:i/>
        <w:color w:val="000000"/>
        <w:sz w:val="16"/>
      </w:rPr>
      <w:t xml:space="preserve">, </w:t>
    </w:r>
    <w:r>
      <w:rPr>
        <w:rFonts w:ascii="Calibri" w:hAnsi="Calibri"/>
        <w:i/>
        <w:sz w:val="16"/>
      </w:rPr>
      <w:t>sous réserve de modifications</w:t>
    </w:r>
    <w:r>
      <w:rPr>
        <w:rFonts w:ascii="Calibri" w:hAnsi="Calibri"/>
        <w:i/>
        <w:color w:val="000000"/>
        <w:sz w:val="16"/>
      </w:rPr>
      <w:t>.</w:t>
    </w:r>
    <w:r>
      <w:rPr>
        <w:rFonts w:ascii="Calibri" w:hAnsi="Calibri"/>
        <w:i/>
        <w:color w:val="000000"/>
        <w:sz w:val="16"/>
      </w:rPr>
      <w:tab/>
    </w:r>
    <w:r>
      <w:rPr>
        <w:rFonts w:ascii="Calibri" w:hAnsi="Calibri"/>
        <w:i/>
        <w:color w:val="000000"/>
        <w:sz w:val="16"/>
      </w:rPr>
      <w:tab/>
    </w:r>
    <w:r>
      <w:rPr>
        <w:rFonts w:ascii="Calibri" w:eastAsia="Calibri" w:hAnsi="Calibri" w:cs="Calibri"/>
        <w:color w:val="000000"/>
        <w:sz w:val="22"/>
      </w:rPr>
      <w:fldChar w:fldCharType="begin"/>
    </w:r>
    <w:r>
      <w:rPr>
        <w:rFonts w:ascii="Calibri" w:eastAsia="Calibri" w:hAnsi="Calibri" w:cs="Calibri"/>
        <w:color w:val="000000"/>
        <w:sz w:val="22"/>
      </w:rPr>
      <w:instrText>PAGE</w:instrText>
    </w:r>
    <w:r>
      <w:rPr>
        <w:rFonts w:ascii="Calibri" w:eastAsia="Calibri" w:hAnsi="Calibri" w:cs="Calibri"/>
        <w:color w:val="000000"/>
        <w:sz w:val="22"/>
      </w:rPr>
      <w:fldChar w:fldCharType="separate"/>
    </w:r>
    <w:r>
      <w:rPr>
        <w:rFonts w:ascii="Calibri" w:eastAsia="Calibri" w:hAnsi="Calibri" w:cs="Calibri"/>
        <w:color w:val="000000"/>
        <w:sz w:val="22"/>
      </w:rPr>
      <w:t>1</w:t>
    </w:r>
    <w:r>
      <w:rPr>
        <w:rFonts w:ascii="Calibri" w:eastAsia="Calibri" w:hAnsi="Calibri" w:cs="Calibri"/>
        <w:color w:val="000000"/>
        <w:sz w:val="22"/>
      </w:rPr>
      <w:fldChar w:fldCharType="end"/>
    </w:r>
  </w:p>
  <w:p w14:paraId="3AE40E59" w14:textId="77777777" w:rsidR="00146E18" w:rsidRDefault="008F45CE">
    <w:pPr>
      <w:pBdr>
        <w:top w:val="nil"/>
        <w:left w:val="nil"/>
        <w:bottom w:val="nil"/>
        <w:right w:val="nil"/>
        <w:between w:val="nil"/>
      </w:pBdr>
      <w:tabs>
        <w:tab w:val="center" w:pos="4536"/>
        <w:tab w:val="right" w:pos="9072"/>
        <w:tab w:val="left" w:pos="3000"/>
      </w:tabs>
      <w:spacing w:after="0"/>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6E0E9" w14:textId="66D57047" w:rsidR="00146E18" w:rsidRDefault="008F45CE">
    <w:pPr>
      <w:pBdr>
        <w:top w:val="single" w:sz="4" w:space="1" w:color="000000"/>
        <w:left w:val="nil"/>
        <w:bottom w:val="nil"/>
        <w:right w:val="nil"/>
        <w:between w:val="nil"/>
      </w:pBdr>
      <w:tabs>
        <w:tab w:val="center" w:pos="4536"/>
        <w:tab w:val="right" w:pos="9072"/>
      </w:tabs>
      <w:spacing w:after="0"/>
      <w:rPr>
        <w:rFonts w:ascii="Calibri" w:eastAsia="Calibri" w:hAnsi="Calibri" w:cs="Calibri"/>
        <w:color w:val="000000"/>
        <w:sz w:val="22"/>
        <w:szCs w:val="22"/>
      </w:rPr>
    </w:pPr>
    <w:r>
      <w:rPr>
        <w:rFonts w:ascii="Calibri" w:hAnsi="Calibri"/>
        <w:i/>
        <w:color w:val="000000"/>
        <w:sz w:val="16"/>
      </w:rPr>
      <w:t xml:space="preserve">APPLI eWitness, </w:t>
    </w:r>
    <w:r>
      <w:rPr>
        <w:rFonts w:ascii="Calibri" w:hAnsi="Calibri"/>
        <w:i/>
        <w:sz w:val="16"/>
      </w:rPr>
      <w:t>sous réserve de modifications</w:t>
    </w:r>
    <w:r>
      <w:rPr>
        <w:rFonts w:ascii="Calibri" w:hAnsi="Calibri"/>
        <w:i/>
        <w:sz w:val="16"/>
      </w:rPr>
      <w:tab/>
    </w:r>
    <w:r>
      <w:rPr>
        <w:rFonts w:ascii="Calibri" w:hAnsi="Calibri"/>
        <w:i/>
        <w:color w:val="000000"/>
        <w:sz w:val="16"/>
      </w:rPr>
      <w:tab/>
    </w:r>
    <w:r>
      <w:rPr>
        <w:rFonts w:ascii="Calibri" w:eastAsia="Calibri" w:hAnsi="Calibri" w:cs="Calibri"/>
        <w:color w:val="000000"/>
        <w:sz w:val="22"/>
      </w:rPr>
      <w:fldChar w:fldCharType="begin"/>
    </w:r>
    <w:r>
      <w:rPr>
        <w:rFonts w:ascii="Calibri" w:eastAsia="Calibri" w:hAnsi="Calibri" w:cs="Calibri"/>
        <w:color w:val="000000"/>
        <w:sz w:val="22"/>
      </w:rPr>
      <w:instrText>PAGE</w:instrText>
    </w:r>
    <w:r w:rsidR="00C7248B">
      <w:rPr>
        <w:rFonts w:ascii="Calibri" w:eastAsia="Calibri" w:hAnsi="Calibri" w:cs="Calibri"/>
        <w:color w:val="000000"/>
        <w:sz w:val="22"/>
      </w:rPr>
      <w:fldChar w:fldCharType="separate"/>
    </w:r>
    <w:r w:rsidR="001922DE">
      <w:rPr>
        <w:rFonts w:ascii="Calibri" w:eastAsia="Calibri" w:hAnsi="Calibri" w:cs="Calibri"/>
        <w:noProof/>
        <w:color w:val="000000"/>
        <w:sz w:val="22"/>
      </w:rPr>
      <w:t>19</w:t>
    </w:r>
    <w:r>
      <w:rPr>
        <w:rFonts w:ascii="Calibri" w:eastAsia="Calibri" w:hAnsi="Calibri" w:cs="Calibri"/>
        <w:color w:val="000000"/>
        <w:sz w:val="22"/>
      </w:rPr>
      <w:fldChar w:fldCharType="end"/>
    </w:r>
  </w:p>
  <w:p w14:paraId="316F2E4D" w14:textId="77777777" w:rsidR="00146E18" w:rsidRDefault="00146E18">
    <w:pPr>
      <w:pBdr>
        <w:top w:val="nil"/>
        <w:left w:val="nil"/>
        <w:bottom w:val="nil"/>
        <w:right w:val="nil"/>
        <w:between w:val="nil"/>
      </w:pBdr>
      <w:tabs>
        <w:tab w:val="center" w:pos="4536"/>
        <w:tab w:val="right" w:pos="9072"/>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130AFF" w14:textId="77777777" w:rsidR="008F45CE" w:rsidRDefault="008F45CE">
      <w:pPr>
        <w:spacing w:after="0"/>
      </w:pPr>
      <w:r>
        <w:separator/>
      </w:r>
    </w:p>
  </w:footnote>
  <w:footnote w:type="continuationSeparator" w:id="0">
    <w:p w14:paraId="3DC07946" w14:textId="77777777" w:rsidR="008F45CE" w:rsidRDefault="008F45C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52B18" w14:textId="1C04548F" w:rsidR="00146E18" w:rsidRDefault="00805D89" w:rsidP="000B08C1">
    <w:pPr>
      <w:spacing w:after="240"/>
      <w:rPr>
        <w:rFonts w:ascii="Calibri" w:eastAsia="Calibri" w:hAnsi="Calibri" w:cs="Calibri"/>
      </w:rPr>
    </w:pPr>
    <w:r>
      <w:rPr>
        <w:noProof/>
      </w:rPr>
      <w:drawing>
        <wp:inline distT="0" distB="0" distL="0" distR="0" wp14:anchorId="7E95DB64" wp14:editId="6D2CA965">
          <wp:extent cx="1332000" cy="446187"/>
          <wp:effectExtent l="0" t="0" r="0" b="0"/>
          <wp:docPr id="14306637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63756" name=""/>
                  <pic:cNvPicPr/>
                </pic:nvPicPr>
                <pic:blipFill rotWithShape="1">
                  <a:blip r:embed="rId1">
                    <a:extLst>
                      <a:ext uri="{96DAC541-7B7A-43D3-8B79-37D633B846F1}">
                        <asvg:svgBlip xmlns:asvg="http://schemas.microsoft.com/office/drawing/2016/SVG/main" r:embed="rId2"/>
                      </a:ext>
                    </a:extLst>
                  </a:blip>
                  <a:srcRect l="14057" t="36596" r="18799" b="34299"/>
                  <a:stretch/>
                </pic:blipFill>
                <pic:spPr bwMode="auto">
                  <a:xfrm>
                    <a:off x="0" y="0"/>
                    <a:ext cx="1332000" cy="446187"/>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E18"/>
    <w:rsid w:val="0006109B"/>
    <w:rsid w:val="00094BDC"/>
    <w:rsid w:val="000A3A78"/>
    <w:rsid w:val="000B08C1"/>
    <w:rsid w:val="000C7B17"/>
    <w:rsid w:val="000D4881"/>
    <w:rsid w:val="000E6DF6"/>
    <w:rsid w:val="000F3756"/>
    <w:rsid w:val="00114A8E"/>
    <w:rsid w:val="00117215"/>
    <w:rsid w:val="00146E18"/>
    <w:rsid w:val="00151F52"/>
    <w:rsid w:val="00153A7E"/>
    <w:rsid w:val="00190658"/>
    <w:rsid w:val="001922DE"/>
    <w:rsid w:val="001A478E"/>
    <w:rsid w:val="001B7EBD"/>
    <w:rsid w:val="001D750B"/>
    <w:rsid w:val="00222F3B"/>
    <w:rsid w:val="00254D3C"/>
    <w:rsid w:val="0026197F"/>
    <w:rsid w:val="00306AFF"/>
    <w:rsid w:val="003250B6"/>
    <w:rsid w:val="0033152F"/>
    <w:rsid w:val="003350DC"/>
    <w:rsid w:val="003765E3"/>
    <w:rsid w:val="00381E5E"/>
    <w:rsid w:val="003B732C"/>
    <w:rsid w:val="003F1312"/>
    <w:rsid w:val="00410549"/>
    <w:rsid w:val="004310C6"/>
    <w:rsid w:val="00484422"/>
    <w:rsid w:val="004B61FD"/>
    <w:rsid w:val="004F602D"/>
    <w:rsid w:val="005059FA"/>
    <w:rsid w:val="00527050"/>
    <w:rsid w:val="00540BBA"/>
    <w:rsid w:val="00541506"/>
    <w:rsid w:val="005817AF"/>
    <w:rsid w:val="005E6768"/>
    <w:rsid w:val="00681FD5"/>
    <w:rsid w:val="00685C60"/>
    <w:rsid w:val="006D5067"/>
    <w:rsid w:val="006F1D95"/>
    <w:rsid w:val="00755B1F"/>
    <w:rsid w:val="007749B6"/>
    <w:rsid w:val="00777B55"/>
    <w:rsid w:val="00780806"/>
    <w:rsid w:val="00780C8E"/>
    <w:rsid w:val="007948B0"/>
    <w:rsid w:val="00796D5D"/>
    <w:rsid w:val="007A7DCB"/>
    <w:rsid w:val="007C02AE"/>
    <w:rsid w:val="00804920"/>
    <w:rsid w:val="00805D89"/>
    <w:rsid w:val="008304E9"/>
    <w:rsid w:val="008410D2"/>
    <w:rsid w:val="0084231E"/>
    <w:rsid w:val="008905D8"/>
    <w:rsid w:val="008A3494"/>
    <w:rsid w:val="008D32AD"/>
    <w:rsid w:val="008F3187"/>
    <w:rsid w:val="008F45CE"/>
    <w:rsid w:val="00906CA5"/>
    <w:rsid w:val="0092656B"/>
    <w:rsid w:val="0094329A"/>
    <w:rsid w:val="009768A3"/>
    <w:rsid w:val="0098069A"/>
    <w:rsid w:val="009B4BAF"/>
    <w:rsid w:val="009D6F68"/>
    <w:rsid w:val="00A34A67"/>
    <w:rsid w:val="00A351D0"/>
    <w:rsid w:val="00A359A9"/>
    <w:rsid w:val="00A36C17"/>
    <w:rsid w:val="00A376F0"/>
    <w:rsid w:val="00A40B6F"/>
    <w:rsid w:val="00A4790B"/>
    <w:rsid w:val="00A636E5"/>
    <w:rsid w:val="00A856DD"/>
    <w:rsid w:val="00AB1C5D"/>
    <w:rsid w:val="00AC084C"/>
    <w:rsid w:val="00B03B7E"/>
    <w:rsid w:val="00B04D5B"/>
    <w:rsid w:val="00B145FF"/>
    <w:rsid w:val="00B315A2"/>
    <w:rsid w:val="00B86988"/>
    <w:rsid w:val="00B92C89"/>
    <w:rsid w:val="00BD7E06"/>
    <w:rsid w:val="00C00447"/>
    <w:rsid w:val="00C40DE2"/>
    <w:rsid w:val="00C41D05"/>
    <w:rsid w:val="00C7248B"/>
    <w:rsid w:val="00C74FD4"/>
    <w:rsid w:val="00C93040"/>
    <w:rsid w:val="00CA64CE"/>
    <w:rsid w:val="00CC621D"/>
    <w:rsid w:val="00CC757C"/>
    <w:rsid w:val="00CD4B7E"/>
    <w:rsid w:val="00D11A6D"/>
    <w:rsid w:val="00D241CE"/>
    <w:rsid w:val="00D30FD5"/>
    <w:rsid w:val="00D85A64"/>
    <w:rsid w:val="00D9273C"/>
    <w:rsid w:val="00DA5D82"/>
    <w:rsid w:val="00DC5CDD"/>
    <w:rsid w:val="00DD6525"/>
    <w:rsid w:val="00DE3646"/>
    <w:rsid w:val="00DE694B"/>
    <w:rsid w:val="00DF41EF"/>
    <w:rsid w:val="00E55B7A"/>
    <w:rsid w:val="00E67FFE"/>
    <w:rsid w:val="00E75FF5"/>
    <w:rsid w:val="00E80CF2"/>
    <w:rsid w:val="00E939E3"/>
    <w:rsid w:val="00E94467"/>
    <w:rsid w:val="00ED2FA7"/>
    <w:rsid w:val="00F01694"/>
    <w:rsid w:val="00F02FA2"/>
    <w:rsid w:val="00F14D09"/>
    <w:rsid w:val="00F4182C"/>
    <w:rsid w:val="00F76DD8"/>
    <w:rsid w:val="00F76EFC"/>
    <w:rsid w:val="00F81B11"/>
    <w:rsid w:val="00F843F0"/>
    <w:rsid w:val="00F96326"/>
    <w:rsid w:val="00FA0597"/>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D5CAC98"/>
  <w15:docId w15:val="{457E5755-9368-44D4-941C-68A3DC158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fr-FR" w:eastAsia="en-GB"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pBdr>
        <w:top w:val="nil"/>
        <w:left w:val="nil"/>
        <w:bottom w:val="nil"/>
        <w:right w:val="nil"/>
        <w:between w:val="nil"/>
      </w:pBdr>
      <w:spacing w:before="480"/>
      <w:outlineLvl w:val="0"/>
    </w:pPr>
    <w:rPr>
      <w:b/>
      <w:color w:val="1F497D"/>
      <w:sz w:val="24"/>
      <w:szCs w:val="24"/>
    </w:rPr>
  </w:style>
  <w:style w:type="paragraph" w:styleId="Overskrift2">
    <w:name w:val="heading 2"/>
    <w:basedOn w:val="Normal"/>
    <w:next w:val="Normal"/>
    <w:uiPriority w:val="9"/>
    <w:unhideWhenUsed/>
    <w:qFormat/>
    <w:pPr>
      <w:keepNext/>
      <w:keepLines/>
      <w:pBdr>
        <w:top w:val="nil"/>
        <w:left w:val="nil"/>
        <w:bottom w:val="nil"/>
        <w:right w:val="nil"/>
        <w:between w:val="nil"/>
      </w:pBdr>
      <w:spacing w:before="200"/>
      <w:outlineLvl w:val="1"/>
    </w:pPr>
    <w:rPr>
      <w:rFonts w:ascii="Calibri" w:eastAsia="Calibri" w:hAnsi="Calibri" w:cs="Calibri"/>
      <w:b/>
      <w:color w:val="4F81BD"/>
      <w:sz w:val="24"/>
      <w:szCs w:val="24"/>
    </w:rPr>
  </w:style>
  <w:style w:type="paragraph" w:styleId="Overskrift3">
    <w:name w:val="heading 3"/>
    <w:basedOn w:val="Normal"/>
    <w:next w:val="Normal"/>
    <w:uiPriority w:val="9"/>
    <w:semiHidden/>
    <w:unhideWhenUsed/>
    <w:qFormat/>
    <w:pPr>
      <w:keepNext/>
      <w:keepLines/>
      <w:pBdr>
        <w:top w:val="nil"/>
        <w:left w:val="nil"/>
        <w:bottom w:val="nil"/>
        <w:right w:val="nil"/>
        <w:between w:val="nil"/>
      </w:pBdr>
      <w:spacing w:before="200"/>
      <w:outlineLvl w:val="2"/>
    </w:pPr>
    <w:rPr>
      <w:rFonts w:ascii="Calibri" w:eastAsia="Calibri" w:hAnsi="Calibri" w:cs="Calibri"/>
      <w:b/>
      <w:color w:val="4472C4"/>
      <w:sz w:val="22"/>
      <w:szCs w:val="22"/>
    </w:rPr>
  </w:style>
  <w:style w:type="paragraph" w:styleId="Overskrift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Overskrift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Overskrift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Undertitel">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CellMar>
        <w:top w:w="100" w:type="dxa"/>
        <w:left w:w="100" w:type="dxa"/>
        <w:bottom w:w="100" w:type="dxa"/>
        <w:right w:w="100" w:type="dxa"/>
      </w:tblCellMar>
    </w:tblPr>
  </w:style>
  <w:style w:type="paragraph" w:styleId="Sidehoved">
    <w:name w:val="header"/>
    <w:basedOn w:val="Normal"/>
    <w:link w:val="SidehovedTegn"/>
    <w:uiPriority w:val="99"/>
    <w:unhideWhenUsed/>
    <w:rsid w:val="00A40B6F"/>
    <w:pPr>
      <w:tabs>
        <w:tab w:val="center" w:pos="4819"/>
        <w:tab w:val="right" w:pos="9638"/>
      </w:tabs>
      <w:spacing w:after="0"/>
    </w:pPr>
  </w:style>
  <w:style w:type="character" w:customStyle="1" w:styleId="SidehovedTegn">
    <w:name w:val="Sidehoved Tegn"/>
    <w:basedOn w:val="Standardskrifttypeiafsnit"/>
    <w:link w:val="Sidehoved"/>
    <w:uiPriority w:val="99"/>
    <w:rsid w:val="00A40B6F"/>
  </w:style>
  <w:style w:type="paragraph" w:styleId="Sidefod">
    <w:name w:val="footer"/>
    <w:basedOn w:val="Normal"/>
    <w:link w:val="SidefodTegn"/>
    <w:uiPriority w:val="99"/>
    <w:unhideWhenUsed/>
    <w:rsid w:val="00A40B6F"/>
    <w:pPr>
      <w:tabs>
        <w:tab w:val="center" w:pos="4819"/>
        <w:tab w:val="right" w:pos="9638"/>
      </w:tabs>
      <w:spacing w:after="0"/>
    </w:pPr>
  </w:style>
  <w:style w:type="character" w:customStyle="1" w:styleId="SidefodTegn">
    <w:name w:val="Sidefod Tegn"/>
    <w:basedOn w:val="Standardskrifttypeiafsnit"/>
    <w:link w:val="Sidefod"/>
    <w:uiPriority w:val="99"/>
    <w:rsid w:val="00A40B6F"/>
  </w:style>
  <w:style w:type="paragraph" w:styleId="Overskrift">
    <w:name w:val="TOC Heading"/>
    <w:basedOn w:val="Overskrift1"/>
    <w:next w:val="Normal"/>
    <w:uiPriority w:val="39"/>
    <w:unhideWhenUsed/>
    <w:qFormat/>
    <w:rsid w:val="00D11A6D"/>
    <w:pPr>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b w:val="0"/>
      <w:color w:val="365F91" w:themeColor="accent1" w:themeShade="BF"/>
      <w:sz w:val="32"/>
      <w:szCs w:val="32"/>
      <w:lang w:eastAsia="zh-CN"/>
    </w:rPr>
  </w:style>
  <w:style w:type="paragraph" w:styleId="Indholdsfortegnelse1">
    <w:name w:val="toc 1"/>
    <w:basedOn w:val="Normal"/>
    <w:next w:val="Normal"/>
    <w:autoRedefine/>
    <w:uiPriority w:val="39"/>
    <w:unhideWhenUsed/>
    <w:rsid w:val="003B732C"/>
    <w:pPr>
      <w:spacing w:after="100"/>
    </w:pPr>
    <w:rPr>
      <w:b/>
    </w:rPr>
  </w:style>
  <w:style w:type="paragraph" w:styleId="Indholdsfortegnelse2">
    <w:name w:val="toc 2"/>
    <w:basedOn w:val="Normal"/>
    <w:next w:val="Normal"/>
    <w:autoRedefine/>
    <w:uiPriority w:val="39"/>
    <w:unhideWhenUsed/>
    <w:rsid w:val="00D11A6D"/>
    <w:pPr>
      <w:spacing w:after="100"/>
      <w:ind w:left="200"/>
    </w:pPr>
  </w:style>
  <w:style w:type="character" w:styleId="Hyperlink">
    <w:name w:val="Hyperlink"/>
    <w:basedOn w:val="Standardskrifttypeiafsnit"/>
    <w:uiPriority w:val="99"/>
    <w:unhideWhenUsed/>
    <w:rsid w:val="00D11A6D"/>
    <w:rPr>
      <w:color w:val="0000FF" w:themeColor="hyperlink"/>
      <w:u w:val="single"/>
    </w:rPr>
  </w:style>
  <w:style w:type="character" w:styleId="Kommentarhenvisning">
    <w:name w:val="annotation reference"/>
    <w:basedOn w:val="Standardskrifttypeiafsnit"/>
    <w:uiPriority w:val="99"/>
    <w:semiHidden/>
    <w:unhideWhenUsed/>
    <w:rsid w:val="00254D3C"/>
    <w:rPr>
      <w:sz w:val="16"/>
      <w:szCs w:val="16"/>
    </w:rPr>
  </w:style>
  <w:style w:type="paragraph" w:styleId="Kommentartekst">
    <w:name w:val="annotation text"/>
    <w:basedOn w:val="Normal"/>
    <w:link w:val="KommentartekstTegn"/>
    <w:uiPriority w:val="99"/>
    <w:unhideWhenUsed/>
    <w:rsid w:val="00254D3C"/>
  </w:style>
  <w:style w:type="character" w:customStyle="1" w:styleId="KommentartekstTegn">
    <w:name w:val="Kommentartekst Tegn"/>
    <w:basedOn w:val="Standardskrifttypeiafsnit"/>
    <w:link w:val="Kommentartekst"/>
    <w:uiPriority w:val="99"/>
    <w:rsid w:val="00254D3C"/>
  </w:style>
  <w:style w:type="paragraph" w:styleId="Kommentaremne">
    <w:name w:val="annotation subject"/>
    <w:basedOn w:val="Kommentartekst"/>
    <w:next w:val="Kommentartekst"/>
    <w:link w:val="KommentaremneTegn"/>
    <w:uiPriority w:val="99"/>
    <w:semiHidden/>
    <w:unhideWhenUsed/>
    <w:rsid w:val="00254D3C"/>
    <w:rPr>
      <w:b/>
      <w:bCs/>
    </w:rPr>
  </w:style>
  <w:style w:type="character" w:customStyle="1" w:styleId="KommentaremneTegn">
    <w:name w:val="Kommentaremne Tegn"/>
    <w:basedOn w:val="KommentartekstTegn"/>
    <w:link w:val="Kommentaremne"/>
    <w:uiPriority w:val="99"/>
    <w:semiHidden/>
    <w:rsid w:val="00254D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7.svg"/><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b991e4a-8f61-4c7a-9015-8257caff5573">
      <Terms xmlns="http://schemas.microsoft.com/office/infopath/2007/PartnerControls"/>
    </lcf76f155ced4ddcb4097134ff3c332f>
    <Comment xmlns="1b991e4a-8f61-4c7a-9015-8257caff5573" xsi:nil="true"/>
    <TaxCatchAll xmlns="1c9579e8-0c04-4c86-a874-eab81c1d63e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C4E1E48A472B14096E5873666664419" ma:contentTypeVersion="15" ma:contentTypeDescription="Opret et nyt dokument." ma:contentTypeScope="" ma:versionID="c870b4062dab191fbbd616ba25ae53a8">
  <xsd:schema xmlns:xsd="http://www.w3.org/2001/XMLSchema" xmlns:xs="http://www.w3.org/2001/XMLSchema" xmlns:p="http://schemas.microsoft.com/office/2006/metadata/properties" xmlns:ns2="1b991e4a-8f61-4c7a-9015-8257caff5573" xmlns:ns3="1c9579e8-0c04-4c86-a874-eab81c1d63e7" targetNamespace="http://schemas.microsoft.com/office/2006/metadata/properties" ma:root="true" ma:fieldsID="51c2cdff0c1bfebde8feb5f12e31bae9" ns2:_="" ns3:_="">
    <xsd:import namespace="1b991e4a-8f61-4c7a-9015-8257caff5573"/>
    <xsd:import namespace="1c9579e8-0c04-4c86-a874-eab81c1d63e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Comment"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991e4a-8f61-4c7a-9015-8257caff557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ledmærker" ma:readOnly="false" ma:fieldId="{5cf76f15-5ced-4ddc-b409-7134ff3c332f}" ma:taxonomyMulti="true" ma:sspId="c49de39d-3a67-40f2-8d2f-80c66be0421d"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Comment" ma:index="21" nillable="true" ma:displayName="Comment" ma:format="Dropdown" ma:internalName="Comment">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9579e8-0c04-4c86-a874-eab81c1d63e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ea0a23f-6928-4684-9499-5330f5c87c5b}" ma:internalName="TaxCatchAll" ma:showField="CatchAllData" ma:web="1c9579e8-0c04-4c86-a874-eab81c1d63e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39A8C2-D4C5-4C17-AB9B-1273B8DBBDBA}">
  <ds:schemaRefs>
    <ds:schemaRef ds:uri="http://www.w3.org/XML/1998/namespace"/>
    <ds:schemaRef ds:uri="http://purl.org/dc/elements/1.1/"/>
    <ds:schemaRef ds:uri="http://schemas.microsoft.com/office/2006/metadata/propertie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78f7eba6-05b2-449e-9d2b-6fe897a86ddf"/>
    <ds:schemaRef ds:uri="64e3fef8-a451-4925-8f85-2a984a94f480"/>
    <ds:schemaRef ds:uri="http://purl.org/dc/terms/"/>
    <ds:schemaRef ds:uri="1b991e4a-8f61-4c7a-9015-8257caff5573"/>
    <ds:schemaRef ds:uri="1c9579e8-0c04-4c86-a874-eab81c1d63e7"/>
  </ds:schemaRefs>
</ds:datastoreItem>
</file>

<file path=customXml/itemProps2.xml><?xml version="1.0" encoding="utf-8"?>
<ds:datastoreItem xmlns:ds="http://schemas.openxmlformats.org/officeDocument/2006/customXml" ds:itemID="{C999CA23-FAB4-4D34-AD9B-F17B4FCB2299}">
  <ds:schemaRefs>
    <ds:schemaRef ds:uri="http://schemas.microsoft.com/sharepoint/v3/contenttype/forms"/>
  </ds:schemaRefs>
</ds:datastoreItem>
</file>

<file path=customXml/itemProps3.xml><?xml version="1.0" encoding="utf-8"?>
<ds:datastoreItem xmlns:ds="http://schemas.openxmlformats.org/officeDocument/2006/customXml" ds:itemID="{52BFB547-F53C-4409-B26D-05ACE0C7E7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991e4a-8f61-4c7a-9015-8257caff5573"/>
    <ds:schemaRef ds:uri="1c9579e8-0c04-4c86-a874-eab81c1d63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BFD464-D90D-4246-BF44-D850CDEEF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3482</Words>
  <Characters>21241</Characters>
  <Application>Microsoft Office Word</Application>
  <DocSecurity>0</DocSecurity>
  <Lines>177</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Mia Steen Johnsen</cp:lastModifiedBy>
  <cp:revision>96</cp:revision>
  <dcterms:created xsi:type="dcterms:W3CDTF">2024-07-04T09:55:00Z</dcterms:created>
  <dcterms:modified xsi:type="dcterms:W3CDTF">2024-09-02T11:05:00Z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0x010100DC4E1E48A472B14096E5873666664419</vt:lpwstr>
  </property>
</Properties>
</file>